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74466" w:rsidRDefault="00142609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#99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R1-19</w:t>
      </w:r>
      <w:r>
        <w:rPr>
          <w:rFonts w:ascii="Arial" w:hAnsi="Arial" w:cs="Arial" w:hint="eastAsia"/>
          <w:b/>
          <w:bCs/>
          <w:sz w:val="22"/>
          <w:szCs w:val="22"/>
        </w:rPr>
        <w:t>12515</w:t>
      </w:r>
    </w:p>
    <w:p w:rsidR="00574466" w:rsidRDefault="00142609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Reno, USA, November 18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22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2019</w:t>
      </w:r>
    </w:p>
    <w:p w:rsidR="00574466" w:rsidRDefault="00142609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Discussion on synchronization mechanism in NR V2X</w:t>
      </w:r>
    </w:p>
    <w:p w:rsidR="00574466" w:rsidRDefault="00142609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574466" w:rsidRDefault="00142609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7.2.4.3</w:t>
      </w:r>
    </w:p>
    <w:p w:rsidR="00574466" w:rsidRDefault="00142609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574466" w:rsidRDefault="00142609">
      <w:pPr>
        <w:pStyle w:val="Heading1"/>
        <w:spacing w:before="120" w:after="120"/>
        <w:ind w:left="0"/>
        <w:rPr>
          <w:rFonts w:eastAsia="SimSun"/>
        </w:rPr>
      </w:pPr>
      <w:bookmarkStart w:id="1" w:name="_Toc5602"/>
      <w:bookmarkStart w:id="2" w:name="_Ref30590"/>
      <w:r>
        <w:rPr>
          <w:rFonts w:eastAsia="SimSun" w:hint="eastAsia"/>
        </w:rPr>
        <w:t>Introduction</w:t>
      </w:r>
      <w:bookmarkEnd w:id="1"/>
      <w:bookmarkEnd w:id="2"/>
    </w:p>
    <w:p w:rsidR="00574466" w:rsidRDefault="00142609">
      <w:pPr>
        <w:spacing w:before="120" w:after="120"/>
        <w:rPr>
          <w:sz w:val="20"/>
        </w:rPr>
      </w:pPr>
      <w:r>
        <w:rPr>
          <w:rFonts w:hint="eastAsia"/>
          <w:sz w:val="20"/>
        </w:rPr>
        <w:t>At RAN1 #97 meeting, the following agreements and working assumption were made [1]:</w:t>
      </w:r>
    </w:p>
    <w:p w:rsidR="00574466" w:rsidRDefault="00142609">
      <w:pPr>
        <w:spacing w:before="120" w:after="120"/>
        <w:rPr>
          <w:sz w:val="20"/>
          <w:highlight w:val="darkYellow"/>
        </w:rPr>
      </w:pPr>
      <w:r>
        <w:rPr>
          <w:sz w:val="20"/>
          <w:highlight w:val="darkYellow"/>
        </w:rPr>
        <w:t>Working assumption:</w:t>
      </w:r>
    </w:p>
    <w:p w:rsidR="00574466" w:rsidRDefault="00142609">
      <w:pPr>
        <w:pStyle w:val="BodyText"/>
        <w:numPr>
          <w:ilvl w:val="0"/>
          <w:numId w:val="6"/>
        </w:numPr>
        <w:spacing w:before="120"/>
        <w:rPr>
          <w:rFonts w:eastAsia="DengXian"/>
          <w:sz w:val="20"/>
        </w:rPr>
      </w:pPr>
      <w:r>
        <w:rPr>
          <w:rFonts w:eastAsia="DengXian" w:hint="eastAsia"/>
          <w:i/>
          <w:iCs/>
          <w:sz w:val="20"/>
        </w:rPr>
        <w:t>F</w:t>
      </w:r>
      <w:r>
        <w:rPr>
          <w:rFonts w:eastAsia="DengXian"/>
          <w:i/>
          <w:iCs/>
          <w:sz w:val="20"/>
        </w:rPr>
        <w:t>or the NR SLSS</w:t>
      </w:r>
      <w:r>
        <w:rPr>
          <w:rFonts w:eastAsia="DengXian" w:hint="eastAsia"/>
          <w:i/>
          <w:iCs/>
          <w:sz w:val="20"/>
        </w:rPr>
        <w:t>,</w:t>
      </w:r>
      <w:r>
        <w:rPr>
          <w:rFonts w:eastAsia="DengXian" w:hint="eastAsia"/>
          <w:sz w:val="20"/>
        </w:rPr>
        <w:t xml:space="preserve"> </w:t>
      </w:r>
    </w:p>
    <w:p w:rsidR="00574466" w:rsidRDefault="00142609">
      <w:pPr>
        <w:pStyle w:val="BodyText"/>
        <w:numPr>
          <w:ilvl w:val="1"/>
          <w:numId w:val="6"/>
        </w:numPr>
        <w:spacing w:before="120"/>
        <w:rPr>
          <w:rFonts w:eastAsia="DengXian"/>
          <w:i/>
          <w:iCs/>
          <w:sz w:val="20"/>
        </w:rPr>
      </w:pPr>
      <w:r>
        <w:rPr>
          <w:rFonts w:eastAsia="DengXian"/>
          <w:i/>
          <w:iCs/>
          <w:sz w:val="20"/>
        </w:rPr>
        <w:t>S</w:t>
      </w:r>
      <w:r>
        <w:rPr>
          <w:rFonts w:eastAsia="DengXian" w:hint="eastAsia"/>
          <w:i/>
          <w:iCs/>
          <w:sz w:val="20"/>
        </w:rPr>
        <w:t>ame sequence is used for both symbols of S-PSS</w:t>
      </w:r>
    </w:p>
    <w:p w:rsidR="00574466" w:rsidRDefault="00142609">
      <w:pPr>
        <w:pStyle w:val="BodyText"/>
        <w:numPr>
          <w:ilvl w:val="1"/>
          <w:numId w:val="6"/>
        </w:numPr>
        <w:spacing w:before="120"/>
        <w:rPr>
          <w:rFonts w:eastAsia="DengXian"/>
          <w:i/>
          <w:iCs/>
          <w:sz w:val="20"/>
        </w:rPr>
      </w:pPr>
      <w:r>
        <w:rPr>
          <w:rFonts w:eastAsia="DengXian"/>
          <w:i/>
          <w:iCs/>
          <w:sz w:val="20"/>
        </w:rPr>
        <w:t>S</w:t>
      </w:r>
      <w:r>
        <w:rPr>
          <w:rFonts w:eastAsia="DengXian" w:hint="eastAsia"/>
          <w:i/>
          <w:iCs/>
          <w:sz w:val="20"/>
        </w:rPr>
        <w:t>ame sequence is used for both symbols of S-SSS</w:t>
      </w:r>
    </w:p>
    <w:p w:rsidR="00574466" w:rsidRDefault="00142609">
      <w:pPr>
        <w:spacing w:before="120" w:after="120"/>
        <w:rPr>
          <w:sz w:val="20"/>
        </w:rPr>
      </w:pPr>
      <w:r>
        <w:rPr>
          <w:rFonts w:hint="eastAsia"/>
          <w:sz w:val="20"/>
        </w:rPr>
        <w:t>At RAN1 #98bis meeting, the following agreements were reached [2]:</w:t>
      </w:r>
    </w:p>
    <w:p w:rsidR="00574466" w:rsidRDefault="00142609">
      <w:pPr>
        <w:pStyle w:val="BodyText"/>
        <w:spacing w:before="120"/>
        <w:rPr>
          <w:rFonts w:eastAsia="DengXian"/>
          <w:b/>
          <w:bCs/>
          <w:sz w:val="20"/>
        </w:rPr>
      </w:pPr>
      <w:r>
        <w:rPr>
          <w:rFonts w:eastAsia="DengXian"/>
          <w:sz w:val="20"/>
          <w:highlight w:val="green"/>
        </w:rPr>
        <w:t>Agreements</w:t>
      </w:r>
      <w:r>
        <w:rPr>
          <w:rFonts w:eastAsia="DengXian"/>
          <w:b/>
          <w:bCs/>
          <w:sz w:val="20"/>
        </w:rPr>
        <w:t>:</w:t>
      </w:r>
    </w:p>
    <w:p w:rsidR="00574466" w:rsidRDefault="00142609">
      <w:pPr>
        <w:spacing w:before="120" w:after="120"/>
        <w:rPr>
          <w:rFonts w:eastAsia="DengXian"/>
          <w:bCs/>
          <w:i/>
          <w:sz w:val="20"/>
        </w:rPr>
      </w:pPr>
      <w:r>
        <w:rPr>
          <w:rFonts w:eastAsia="DengXian" w:hint="eastAsia"/>
          <w:bCs/>
          <w:i/>
          <w:sz w:val="20"/>
        </w:rPr>
        <w:t xml:space="preserve">672 </w:t>
      </w:r>
      <w:r>
        <w:rPr>
          <w:rFonts w:eastAsia="DengXian"/>
          <w:bCs/>
          <w:i/>
          <w:sz w:val="20"/>
        </w:rPr>
        <w:t>SL</w:t>
      </w:r>
      <w:r>
        <w:rPr>
          <w:rFonts w:eastAsia="DengXian" w:hint="eastAsia"/>
          <w:bCs/>
          <w:i/>
          <w:sz w:val="20"/>
        </w:rPr>
        <w:t>-</w:t>
      </w:r>
      <w:r>
        <w:rPr>
          <w:rFonts w:eastAsia="DengXian"/>
          <w:bCs/>
          <w:i/>
          <w:sz w:val="20"/>
        </w:rPr>
        <w:t xml:space="preserve">SSIDs </w:t>
      </w:r>
      <w:r>
        <w:rPr>
          <w:rFonts w:eastAsia="DengXian" w:hint="eastAsia"/>
          <w:bCs/>
          <w:i/>
          <w:sz w:val="20"/>
        </w:rPr>
        <w:t>are</w:t>
      </w:r>
      <w:r>
        <w:rPr>
          <w:rFonts w:eastAsia="DengXian"/>
          <w:bCs/>
          <w:i/>
          <w:sz w:val="20"/>
        </w:rPr>
        <w:t xml:space="preserve"> divided into 2 </w:t>
      </w:r>
      <w:r>
        <w:rPr>
          <w:bCs/>
          <w:i/>
          <w:sz w:val="20"/>
        </w:rPr>
        <w:t>sets to indicate different synchronization priorities</w:t>
      </w:r>
      <w:r>
        <w:rPr>
          <w:rFonts w:eastAsia="DengXian"/>
          <w:bCs/>
          <w:i/>
          <w:sz w:val="20"/>
        </w:rPr>
        <w:t xml:space="preserve"> following a similar approach as in LTE-V2X</w:t>
      </w:r>
      <w:r>
        <w:rPr>
          <w:rFonts w:eastAsia="DengXian" w:hint="eastAsia"/>
          <w:bCs/>
          <w:i/>
          <w:sz w:val="20"/>
        </w:rPr>
        <w:t xml:space="preserve">: </w:t>
      </w:r>
    </w:p>
    <w:p w:rsidR="00574466" w:rsidRDefault="00142609">
      <w:pPr>
        <w:pStyle w:val="ListParagraph"/>
        <w:numPr>
          <w:ilvl w:val="0"/>
          <w:numId w:val="7"/>
        </w:numPr>
        <w:spacing w:beforeLines="50" w:before="120" w:after="120"/>
        <w:rPr>
          <w:rFonts w:eastAsia="DengXian"/>
          <w:bCs/>
          <w:i/>
          <w:sz w:val="20"/>
          <w:szCs w:val="20"/>
        </w:rPr>
      </w:pPr>
      <w:r>
        <w:rPr>
          <w:rFonts w:eastAsia="DengXian"/>
          <w:bCs/>
          <w:i/>
          <w:sz w:val="20"/>
          <w:szCs w:val="20"/>
        </w:rPr>
        <w:t>Set id_net {0, 1, …, 335}</w:t>
      </w:r>
    </w:p>
    <w:p w:rsidR="00574466" w:rsidRDefault="00142609">
      <w:pPr>
        <w:pStyle w:val="ListParagraph"/>
        <w:numPr>
          <w:ilvl w:val="0"/>
          <w:numId w:val="7"/>
        </w:numPr>
        <w:spacing w:beforeLines="50" w:before="120" w:after="120"/>
        <w:rPr>
          <w:rFonts w:eastAsia="DengXian"/>
          <w:bCs/>
          <w:i/>
          <w:sz w:val="20"/>
          <w:szCs w:val="20"/>
        </w:rPr>
      </w:pPr>
      <w:r>
        <w:rPr>
          <w:rFonts w:eastAsia="DengXian"/>
          <w:bCs/>
          <w:i/>
          <w:sz w:val="20"/>
          <w:szCs w:val="20"/>
        </w:rPr>
        <w:t>Set id_oon{336, 337, 338, …, 671}</w:t>
      </w:r>
    </w:p>
    <w:p w:rsidR="00574466" w:rsidRDefault="00142609">
      <w:pPr>
        <w:pStyle w:val="ListParagraph"/>
        <w:numPr>
          <w:ilvl w:val="0"/>
          <w:numId w:val="7"/>
        </w:numPr>
        <w:spacing w:beforeLines="50" w:before="120" w:after="120"/>
        <w:rPr>
          <w:rFonts w:eastAsia="DengXian"/>
          <w:bCs/>
          <w:i/>
          <w:sz w:val="20"/>
          <w:szCs w:val="20"/>
        </w:rPr>
      </w:pPr>
      <w:r>
        <w:rPr>
          <w:rFonts w:eastAsia="DengXian"/>
          <w:bCs/>
          <w:i/>
          <w:sz w:val="20"/>
          <w:szCs w:val="20"/>
        </w:rPr>
        <w:t>The usage of 0 is the same as 0 as in LTE</w:t>
      </w:r>
    </w:p>
    <w:p w:rsidR="00574466" w:rsidRDefault="00142609">
      <w:pPr>
        <w:pStyle w:val="ListParagraph"/>
        <w:numPr>
          <w:ilvl w:val="0"/>
          <w:numId w:val="7"/>
        </w:numPr>
        <w:spacing w:beforeLines="50" w:before="120" w:after="120"/>
        <w:rPr>
          <w:rFonts w:eastAsia="DengXian"/>
          <w:bCs/>
          <w:i/>
          <w:sz w:val="20"/>
          <w:szCs w:val="20"/>
        </w:rPr>
      </w:pPr>
      <w:r>
        <w:rPr>
          <w:rFonts w:eastAsia="DengXian"/>
          <w:bCs/>
          <w:i/>
          <w:sz w:val="20"/>
          <w:szCs w:val="20"/>
        </w:rPr>
        <w:t>The usage of 336 is the same as 168 as in LTE</w:t>
      </w:r>
    </w:p>
    <w:p w:rsidR="00574466" w:rsidRDefault="00142609">
      <w:pPr>
        <w:pStyle w:val="ListParagraph"/>
        <w:numPr>
          <w:ilvl w:val="0"/>
          <w:numId w:val="7"/>
        </w:numPr>
        <w:spacing w:beforeLines="50" w:before="120" w:after="120"/>
        <w:rPr>
          <w:rFonts w:eastAsia="DengXian"/>
          <w:bCs/>
          <w:iCs/>
          <w:sz w:val="20"/>
          <w:szCs w:val="20"/>
        </w:rPr>
      </w:pPr>
      <w:r>
        <w:rPr>
          <w:rFonts w:eastAsia="DengXian"/>
          <w:bCs/>
          <w:i/>
          <w:sz w:val="20"/>
          <w:szCs w:val="20"/>
        </w:rPr>
        <w:t>The usage of 337 is the same as 169 as in LTE</w:t>
      </w:r>
    </w:p>
    <w:p w:rsidR="00574466" w:rsidRDefault="00142609">
      <w:pPr>
        <w:pStyle w:val="BodyText"/>
        <w:spacing w:before="120"/>
        <w:rPr>
          <w:rFonts w:eastAsia="DengXian"/>
          <w:sz w:val="20"/>
        </w:rPr>
      </w:pPr>
      <w:r>
        <w:rPr>
          <w:rFonts w:eastAsia="DengXian"/>
          <w:sz w:val="20"/>
          <w:highlight w:val="green"/>
        </w:rPr>
        <w:t>Agreements</w:t>
      </w:r>
      <w:r>
        <w:rPr>
          <w:rFonts w:eastAsia="DengXian"/>
          <w:sz w:val="20"/>
        </w:rPr>
        <w:t>:</w:t>
      </w:r>
    </w:p>
    <w:p w:rsidR="00574466" w:rsidRDefault="00142609">
      <w:pPr>
        <w:pStyle w:val="BodyText"/>
        <w:numPr>
          <w:ilvl w:val="0"/>
          <w:numId w:val="8"/>
        </w:numPr>
        <w:spacing w:before="120"/>
        <w:rPr>
          <w:rFonts w:eastAsia="DengXian"/>
          <w:iCs/>
          <w:sz w:val="20"/>
        </w:rPr>
      </w:pPr>
      <w:r>
        <w:rPr>
          <w:rFonts w:eastAsia="DengXian"/>
          <w:i/>
          <w:sz w:val="20"/>
        </w:rPr>
        <w:t>Do not support 2/4/8 as the number of S-SSB transmissions within one S-SSB period for 15/30/60 KHz SCS for FR1, respectively.</w:t>
      </w:r>
    </w:p>
    <w:p w:rsidR="00574466" w:rsidRDefault="00142609">
      <w:pPr>
        <w:pStyle w:val="BodyText"/>
        <w:spacing w:before="120"/>
        <w:rPr>
          <w:rFonts w:eastAsia="DengXian"/>
          <w:b/>
          <w:bCs/>
          <w:sz w:val="20"/>
        </w:rPr>
      </w:pPr>
      <w:r>
        <w:rPr>
          <w:rFonts w:eastAsia="DengXian"/>
          <w:sz w:val="20"/>
          <w:highlight w:val="green"/>
        </w:rPr>
        <w:t>Agreements</w:t>
      </w:r>
      <w:r>
        <w:rPr>
          <w:rFonts w:eastAsia="DengXian"/>
          <w:b/>
          <w:bCs/>
          <w:sz w:val="20"/>
        </w:rPr>
        <w:t>:</w:t>
      </w:r>
    </w:p>
    <w:p w:rsidR="00574466" w:rsidRDefault="00142609">
      <w:pPr>
        <w:pStyle w:val="BodyText"/>
        <w:numPr>
          <w:ilvl w:val="0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 xml:space="preserve">The procedure for signalling, identifying priority for one or more synchronization references and selecting the synchronization reference from the LTE is re-used (as a </w:t>
      </w:r>
      <w:r>
        <w:rPr>
          <w:i/>
          <w:iCs/>
          <w:sz w:val="20"/>
          <w:highlight w:val="darkYellow"/>
        </w:rPr>
        <w:t>working assumption</w:t>
      </w:r>
      <w:r>
        <w:rPr>
          <w:i/>
          <w:iCs/>
          <w:sz w:val="20"/>
        </w:rPr>
        <w:t>) for NR SL</w:t>
      </w:r>
    </w:p>
    <w:p w:rsidR="00574466" w:rsidRDefault="00142609">
      <w:pPr>
        <w:pStyle w:val="BodyText"/>
        <w:numPr>
          <w:ilvl w:val="1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>FFS SSIDs used for each priority</w:t>
      </w:r>
    </w:p>
    <w:p w:rsidR="00574466" w:rsidRDefault="00142609">
      <w:pPr>
        <w:pStyle w:val="BodyText"/>
        <w:numPr>
          <w:ilvl w:val="1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>FFS other potential impacts due to P3/P4/P5</w:t>
      </w:r>
    </w:p>
    <w:p w:rsidR="00574466" w:rsidRDefault="00142609">
      <w:pPr>
        <w:pStyle w:val="BodyText"/>
        <w:numPr>
          <w:ilvl w:val="0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>FFS whether there is an issue with prioritization among references of the same priority</w:t>
      </w:r>
    </w:p>
    <w:p w:rsidR="00574466" w:rsidRDefault="00142609">
      <w:pPr>
        <w:pStyle w:val="BodyText"/>
        <w:spacing w:before="120"/>
        <w:rPr>
          <w:rFonts w:eastAsia="等线"/>
          <w:highlight w:val="green"/>
        </w:rPr>
      </w:pPr>
      <w:r>
        <w:rPr>
          <w:rFonts w:eastAsia="等线"/>
          <w:highlight w:val="green"/>
        </w:rPr>
        <w:t>Agreements:</w:t>
      </w:r>
    </w:p>
    <w:p w:rsidR="00574466" w:rsidRDefault="00142609">
      <w:pPr>
        <w:pStyle w:val="BodyText"/>
        <w:numPr>
          <w:ilvl w:val="0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>The following fields with “green” background are agreed</w:t>
      </w:r>
    </w:p>
    <w:tbl>
      <w:tblPr>
        <w:tblW w:w="87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4218"/>
      </w:tblGrid>
      <w:tr w:rsidR="00574466">
        <w:tc>
          <w:tcPr>
            <w:tcW w:w="2976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rFonts w:eastAsia="等线"/>
                <w:b/>
              </w:rPr>
            </w:pPr>
            <w:r>
              <w:rPr>
                <w:rFonts w:eastAsia="等线" w:hint="eastAsia"/>
                <w:b/>
              </w:rPr>
              <w:t>PSBCH contents</w:t>
            </w:r>
          </w:p>
        </w:tc>
        <w:tc>
          <w:tcPr>
            <w:tcW w:w="1560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b/>
              </w:rPr>
            </w:pPr>
            <w:r>
              <w:rPr>
                <w:b/>
              </w:rPr>
              <w:t>Number of bits</w:t>
            </w:r>
          </w:p>
        </w:tc>
        <w:tc>
          <w:tcPr>
            <w:tcW w:w="4218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rFonts w:eastAsia="等线"/>
                <w:b/>
              </w:rPr>
            </w:pPr>
            <w:r>
              <w:rPr>
                <w:rFonts w:eastAsia="等线" w:hint="eastAsia"/>
                <w:b/>
              </w:rPr>
              <w:t>Notes</w:t>
            </w: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</w:rPr>
            </w:pPr>
            <w:r>
              <w:rPr>
                <w:rFonts w:eastAsia="等线" w:hint="eastAsia"/>
                <w:highlight w:val="green"/>
              </w:rPr>
              <w:lastRenderedPageBreak/>
              <w:t>DFN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I</w:t>
            </w:r>
            <w:r>
              <w:rPr>
                <w:rFonts w:eastAsia="等线" w:hint="eastAsia"/>
                <w:highlight w:val="green"/>
              </w:rPr>
              <w:t xml:space="preserve">ndication </w:t>
            </w:r>
            <w:r>
              <w:rPr>
                <w:rFonts w:eastAsia="等线"/>
                <w:highlight w:val="green"/>
              </w:rPr>
              <w:t>of TDD configuration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  <w:highlight w:val="green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S</w:t>
            </w:r>
            <w:r>
              <w:rPr>
                <w:rFonts w:eastAsia="等线" w:hint="eastAsia"/>
                <w:highlight w:val="green"/>
              </w:rPr>
              <w:t>ystem-wide information, e.g. TDD-UL-DL common configuration</w:t>
            </w:r>
            <w:r>
              <w:rPr>
                <w:rFonts w:eastAsia="等线"/>
                <w:highlight w:val="green"/>
              </w:rPr>
              <w:t xml:space="preserve"> and/or </w:t>
            </w:r>
            <w:r>
              <w:rPr>
                <w:rFonts w:eastAsia="等线" w:hint="eastAsia"/>
                <w:highlight w:val="green"/>
              </w:rPr>
              <w:t>potential SL slots</w:t>
            </w: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</w:rPr>
            </w:pPr>
            <w:r>
              <w:rPr>
                <w:rFonts w:eastAsia="等线" w:hint="eastAsia"/>
                <w:highlight w:val="darkGray"/>
              </w:rPr>
              <w:t>SL-BWP information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I</w:t>
            </w:r>
            <w:r>
              <w:rPr>
                <w:rFonts w:eastAsia="等线" w:hint="eastAsia"/>
                <w:highlight w:val="green"/>
              </w:rPr>
              <w:t>n-coverage indicator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  <w:highlight w:val="green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  <w:highlight w:val="green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</w:rPr>
            </w:pPr>
            <w:r>
              <w:rPr>
                <w:rFonts w:eastAsia="等线" w:hint="eastAsia"/>
                <w:highlight w:val="darkGray"/>
              </w:rPr>
              <w:t>Type of sync source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  <w:highlight w:val="darkGray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  <w:highlight w:val="darkGray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  <w:color w:val="000000"/>
                <w:highlight w:val="darkGray"/>
              </w:rPr>
            </w:pPr>
            <w:r>
              <w:rPr>
                <w:rFonts w:eastAsia="等线"/>
                <w:color w:val="000000"/>
                <w:highlight w:val="darkGray"/>
              </w:rPr>
              <w:t>S</w:t>
            </w:r>
            <w:r>
              <w:rPr>
                <w:rFonts w:eastAsia="等线" w:hint="eastAsia"/>
                <w:color w:val="000000"/>
                <w:highlight w:val="darkGray"/>
              </w:rPr>
              <w:t>lot index within a subframe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highlight w:val="darkGray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highlight w:val="darkGray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  <w:highlight w:val="lightGray"/>
              </w:rPr>
            </w:pPr>
            <w:r>
              <w:rPr>
                <w:rFonts w:eastAsia="等线"/>
                <w:highlight w:val="lightGray"/>
              </w:rPr>
              <w:t>???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highlight w:val="lightGray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highlight w:val="lightGray"/>
              </w:rPr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CRC</w:t>
            </w:r>
          </w:p>
        </w:tc>
        <w:tc>
          <w:tcPr>
            <w:tcW w:w="1560" w:type="dxa"/>
            <w:shd w:val="clear" w:color="auto" w:fill="auto"/>
          </w:tcPr>
          <w:p w:rsidR="00574466" w:rsidRDefault="00142609">
            <w:pPr>
              <w:spacing w:before="120" w:after="12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24</w:t>
            </w: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</w:pPr>
          </w:p>
        </w:tc>
      </w:tr>
      <w:tr w:rsidR="00574466">
        <w:tc>
          <w:tcPr>
            <w:tcW w:w="2976" w:type="dxa"/>
            <w:shd w:val="clear" w:color="auto" w:fill="auto"/>
          </w:tcPr>
          <w:p w:rsidR="00574466" w:rsidRDefault="00142609">
            <w:pPr>
              <w:spacing w:before="120" w:after="120"/>
              <w:rPr>
                <w:rFonts w:eastAsia="等线"/>
              </w:rPr>
            </w:pPr>
            <w:r>
              <w:rPr>
                <w:rFonts w:hint="eastAsia"/>
              </w:rPr>
              <w:t>Total bit</w:t>
            </w:r>
            <w:r>
              <w:rPr>
                <w:rFonts w:eastAsia="等线" w:hint="eastAsia"/>
              </w:rPr>
              <w:t>s</w:t>
            </w:r>
          </w:p>
        </w:tc>
        <w:tc>
          <w:tcPr>
            <w:tcW w:w="1560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  <w:tc>
          <w:tcPr>
            <w:tcW w:w="4218" w:type="dxa"/>
            <w:shd w:val="clear" w:color="auto" w:fill="auto"/>
          </w:tcPr>
          <w:p w:rsidR="00574466" w:rsidRDefault="00574466">
            <w:pPr>
              <w:spacing w:before="120" w:after="120"/>
              <w:rPr>
                <w:rFonts w:eastAsia="等线"/>
              </w:rPr>
            </w:pPr>
          </w:p>
        </w:tc>
      </w:tr>
    </w:tbl>
    <w:p w:rsidR="00574466" w:rsidRDefault="00574466">
      <w:pPr>
        <w:spacing w:before="120" w:after="120"/>
        <w:jc w:val="left"/>
        <w:rPr>
          <w:sz w:val="20"/>
          <w:szCs w:val="22"/>
        </w:rPr>
      </w:pPr>
    </w:p>
    <w:p w:rsidR="00574466" w:rsidRDefault="00142609">
      <w:pPr>
        <w:spacing w:before="120" w:after="120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In email discussion [98b-NR-17], following agreements were made:</w:t>
      </w:r>
    </w:p>
    <w:p w:rsidR="00574466" w:rsidRDefault="00142609">
      <w:pPr>
        <w:pStyle w:val="BodyText"/>
        <w:numPr>
          <w:ilvl w:val="0"/>
          <w:numId w:val="9"/>
        </w:numPr>
        <w:spacing w:before="120"/>
        <w:rPr>
          <w:i/>
          <w:iCs/>
          <w:sz w:val="20"/>
        </w:rPr>
      </w:pPr>
      <w:r>
        <w:rPr>
          <w:i/>
          <w:iCs/>
          <w:sz w:val="20"/>
        </w:rPr>
        <w:t>PSBCH DM-RS design uses NR Uu PBCH DM-RS design as the starting point</w:t>
      </w:r>
    </w:p>
    <w:p w:rsidR="00574466" w:rsidRDefault="00142609">
      <w:pPr>
        <w:pStyle w:val="BodyText"/>
        <w:spacing w:before="120"/>
        <w:ind w:leftChars="300" w:left="630"/>
        <w:rPr>
          <w:i/>
          <w:iCs/>
          <w:sz w:val="20"/>
        </w:rPr>
      </w:pPr>
      <w:r>
        <w:rPr>
          <w:i/>
          <w:iCs/>
          <w:sz w:val="20"/>
        </w:rPr>
        <w:t>o   DM-RS RE mapping</w:t>
      </w:r>
    </w:p>
    <w:p w:rsidR="00574466" w:rsidRDefault="00142609">
      <w:pPr>
        <w:pStyle w:val="BodyText"/>
        <w:spacing w:before="120"/>
        <w:ind w:leftChars="400" w:left="840"/>
        <w:rPr>
          <w:i/>
          <w:iCs/>
          <w:sz w:val="20"/>
        </w:rPr>
      </w:pPr>
      <w:r>
        <w:rPr>
          <w:i/>
          <w:iCs/>
          <w:sz w:val="20"/>
        </w:rPr>
        <w:t>–       Equal DM-RS density across NR-PBCH with 3 REs/PRB/symbol (i.e., comb-4 type)</w:t>
      </w:r>
    </w:p>
    <w:p w:rsidR="00574466" w:rsidRDefault="00142609">
      <w:pPr>
        <w:pStyle w:val="BodyText"/>
        <w:spacing w:before="120"/>
        <w:ind w:leftChars="300" w:left="630"/>
        <w:rPr>
          <w:i/>
          <w:iCs/>
          <w:sz w:val="20"/>
        </w:rPr>
      </w:pPr>
      <w:r>
        <w:rPr>
          <w:i/>
          <w:iCs/>
          <w:sz w:val="20"/>
        </w:rPr>
        <w:t>o   Same DM-RS sequence generation with NR Uu PBCH</w:t>
      </w:r>
    </w:p>
    <w:p w:rsidR="00574466" w:rsidRDefault="00142609">
      <w:pPr>
        <w:pStyle w:val="BodyText"/>
        <w:spacing w:before="120"/>
        <w:ind w:leftChars="400" w:left="840"/>
        <w:rPr>
          <w:i/>
          <w:iCs/>
          <w:sz w:val="20"/>
        </w:rPr>
      </w:pPr>
      <w:r>
        <w:rPr>
          <w:i/>
          <w:iCs/>
          <w:sz w:val="20"/>
        </w:rPr>
        <w:t>–       length-31 Gold sequence with QPSK modulation</w:t>
      </w:r>
    </w:p>
    <w:p w:rsidR="00574466" w:rsidRDefault="00142609">
      <w:pPr>
        <w:pStyle w:val="BodyText"/>
        <w:spacing w:before="120"/>
        <w:ind w:leftChars="300" w:left="630"/>
        <w:rPr>
          <w:i/>
          <w:iCs/>
          <w:sz w:val="20"/>
        </w:rPr>
      </w:pPr>
      <w:r>
        <w:rPr>
          <w:i/>
          <w:iCs/>
          <w:sz w:val="20"/>
        </w:rPr>
        <w:t>o   FFS DM-RS RE position shift in frequency domain</w:t>
      </w:r>
    </w:p>
    <w:p w:rsidR="00574466" w:rsidRDefault="00142609">
      <w:pPr>
        <w:pStyle w:val="BodyText"/>
        <w:spacing w:before="120"/>
        <w:ind w:leftChars="300" w:left="630"/>
        <w:rPr>
          <w:i/>
          <w:iCs/>
          <w:sz w:val="20"/>
        </w:rPr>
      </w:pPr>
      <w:r>
        <w:rPr>
          <w:i/>
          <w:iCs/>
          <w:sz w:val="20"/>
        </w:rPr>
        <w:t>o   FFS the number of PSBCH symbols that contain DM-RS</w:t>
      </w:r>
    </w:p>
    <w:p w:rsidR="00574466" w:rsidRDefault="00574466">
      <w:pPr>
        <w:spacing w:before="120" w:after="120"/>
        <w:jc w:val="left"/>
        <w:rPr>
          <w:sz w:val="20"/>
          <w:szCs w:val="22"/>
        </w:rPr>
      </w:pPr>
    </w:p>
    <w:p w:rsidR="00574466" w:rsidRDefault="0014260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</w:t>
      </w:r>
      <w:r>
        <w:rPr>
          <w:sz w:val="20"/>
        </w:rPr>
        <w:t xml:space="preserve">contribution, we mainly further discuss </w:t>
      </w:r>
      <w:bookmarkStart w:id="3" w:name="OLE_LINK5"/>
      <w:r>
        <w:rPr>
          <w:rFonts w:hint="eastAsia"/>
          <w:sz w:val="20"/>
        </w:rPr>
        <w:t>remaining issues NR V2X synchronization</w:t>
      </w:r>
      <w:r>
        <w:rPr>
          <w:sz w:val="20"/>
        </w:rPr>
        <w:t>.</w:t>
      </w:r>
      <w:bookmarkEnd w:id="3"/>
    </w:p>
    <w:p w:rsidR="00574466" w:rsidRDefault="00142609">
      <w:pPr>
        <w:pStyle w:val="Heading1"/>
        <w:spacing w:before="120" w:after="120"/>
        <w:ind w:left="0"/>
      </w:pPr>
      <w:bookmarkStart w:id="4" w:name="_Toc10347"/>
      <w:r>
        <w:rPr>
          <w:rFonts w:hint="eastAsia"/>
        </w:rPr>
        <w:t>Discussion</w:t>
      </w:r>
      <w:r>
        <w:t>s</w:t>
      </w:r>
      <w:bookmarkEnd w:id="4"/>
      <w:r>
        <w:rPr>
          <w:rFonts w:hint="eastAsia"/>
        </w:rPr>
        <w:t xml:space="preserve"> </w:t>
      </w:r>
    </w:p>
    <w:p w:rsidR="00574466" w:rsidRDefault="00142609">
      <w:pPr>
        <w:pStyle w:val="Heading2"/>
        <w:spacing w:before="120" w:after="120"/>
        <w:ind w:left="991" w:right="210" w:hangingChars="354" w:hanging="991"/>
      </w:pPr>
      <w:bookmarkStart w:id="5" w:name="_Toc8024"/>
      <w:r>
        <w:rPr>
          <w:rFonts w:hint="eastAsia"/>
        </w:rPr>
        <w:t>Sidelink synchronization signal/channel</w:t>
      </w:r>
      <w:bookmarkEnd w:id="5"/>
    </w:p>
    <w:p w:rsidR="00574466" w:rsidRDefault="00142609">
      <w:pPr>
        <w:pStyle w:val="Heading3"/>
        <w:spacing w:beforeLines="100" w:before="240" w:after="120"/>
        <w:ind w:right="210"/>
        <w:rPr>
          <w:szCs w:val="24"/>
        </w:rPr>
      </w:pPr>
      <w:bookmarkStart w:id="6" w:name="_Toc14884"/>
      <w:r>
        <w:rPr>
          <w:rFonts w:eastAsia="SimSun" w:hint="eastAsia"/>
          <w:szCs w:val="24"/>
        </w:rPr>
        <w:t>Sequence for NR SLSS</w:t>
      </w:r>
      <w:bookmarkEnd w:id="6"/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At RAN1 #97 meeting, the following working assumption w</w:t>
      </w:r>
      <w:r>
        <w:rPr>
          <w:sz w:val="20"/>
        </w:rPr>
        <w:t>as</w:t>
      </w:r>
      <w:r>
        <w:rPr>
          <w:rFonts w:hint="eastAsia"/>
          <w:sz w:val="20"/>
        </w:rPr>
        <w:t xml:space="preserve"> made:</w:t>
      </w:r>
    </w:p>
    <w:tbl>
      <w:tblPr>
        <w:tblStyle w:val="TableGrid"/>
        <w:tblW w:w="9612" w:type="dxa"/>
        <w:tblInd w:w="86" w:type="dxa"/>
        <w:tblLayout w:type="fixed"/>
        <w:tblLook w:val="04A0" w:firstRow="1" w:lastRow="0" w:firstColumn="1" w:lastColumn="0" w:noHBand="0" w:noVBand="1"/>
      </w:tblPr>
      <w:tblGrid>
        <w:gridCol w:w="9612"/>
      </w:tblGrid>
      <w:tr w:rsidR="00574466">
        <w:trPr>
          <w:trHeight w:val="1605"/>
        </w:trPr>
        <w:tc>
          <w:tcPr>
            <w:tcW w:w="9612" w:type="dxa"/>
          </w:tcPr>
          <w:p w:rsidR="00574466" w:rsidRDefault="00142609">
            <w:pPr>
              <w:spacing w:before="120" w:after="120"/>
              <w:rPr>
                <w:sz w:val="20"/>
                <w:highlight w:val="darkYellow"/>
              </w:rPr>
            </w:pPr>
            <w:r>
              <w:rPr>
                <w:sz w:val="20"/>
                <w:highlight w:val="darkYellow"/>
              </w:rPr>
              <w:lastRenderedPageBreak/>
              <w:t>Working assumption:</w:t>
            </w:r>
          </w:p>
          <w:p w:rsidR="00574466" w:rsidRDefault="00142609">
            <w:pPr>
              <w:pStyle w:val="BodyText"/>
              <w:numPr>
                <w:ilvl w:val="0"/>
                <w:numId w:val="6"/>
              </w:numPr>
              <w:spacing w:before="120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i/>
                <w:iCs/>
                <w:sz w:val="20"/>
              </w:rPr>
              <w:t>F</w:t>
            </w:r>
            <w:r>
              <w:rPr>
                <w:rFonts w:eastAsia="DengXian"/>
                <w:i/>
                <w:iCs/>
                <w:sz w:val="20"/>
              </w:rPr>
              <w:t>or the NR SLSS</w:t>
            </w:r>
            <w:r>
              <w:rPr>
                <w:rFonts w:eastAsia="DengXian" w:hint="eastAsia"/>
                <w:i/>
                <w:iCs/>
                <w:sz w:val="20"/>
              </w:rPr>
              <w:t>,</w:t>
            </w:r>
            <w:r>
              <w:rPr>
                <w:rFonts w:eastAsia="DengXian" w:hint="eastAsia"/>
                <w:sz w:val="20"/>
              </w:rPr>
              <w:t xml:space="preserve"> </w:t>
            </w:r>
          </w:p>
          <w:p w:rsidR="00574466" w:rsidRDefault="00142609">
            <w:pPr>
              <w:pStyle w:val="BodyText"/>
              <w:numPr>
                <w:ilvl w:val="1"/>
                <w:numId w:val="6"/>
              </w:numPr>
              <w:spacing w:before="120"/>
              <w:rPr>
                <w:rFonts w:eastAsia="DengXian"/>
                <w:i/>
                <w:iCs/>
                <w:sz w:val="20"/>
              </w:rPr>
            </w:pPr>
            <w:r>
              <w:rPr>
                <w:rFonts w:eastAsia="DengXian"/>
                <w:i/>
                <w:iCs/>
                <w:sz w:val="20"/>
              </w:rPr>
              <w:t>S</w:t>
            </w:r>
            <w:r>
              <w:rPr>
                <w:rFonts w:eastAsia="DengXian" w:hint="eastAsia"/>
                <w:i/>
                <w:iCs/>
                <w:sz w:val="20"/>
              </w:rPr>
              <w:t>ame sequence is used for both symbols of S-PSS</w:t>
            </w:r>
          </w:p>
          <w:p w:rsidR="00574466" w:rsidRDefault="00142609">
            <w:pPr>
              <w:pStyle w:val="BodyText"/>
              <w:numPr>
                <w:ilvl w:val="1"/>
                <w:numId w:val="6"/>
              </w:numPr>
              <w:spacing w:before="120"/>
              <w:rPr>
                <w:sz w:val="20"/>
              </w:rPr>
            </w:pPr>
            <w:r>
              <w:rPr>
                <w:rFonts w:eastAsia="DengXian"/>
                <w:i/>
                <w:iCs/>
                <w:sz w:val="20"/>
              </w:rPr>
              <w:t>S</w:t>
            </w:r>
            <w:r>
              <w:rPr>
                <w:rFonts w:eastAsia="DengXian" w:hint="eastAsia"/>
                <w:i/>
                <w:iCs/>
                <w:sz w:val="20"/>
              </w:rPr>
              <w:t>ame sequence is used for both symbols of S-SSS</w:t>
            </w:r>
          </w:p>
        </w:tc>
      </w:tr>
    </w:tbl>
    <w:p w:rsidR="00574466" w:rsidRDefault="00C24AC0">
      <w:pPr>
        <w:snapToGrid w:val="0"/>
        <w:spacing w:before="120" w:after="120" w:line="260" w:lineRule="auto"/>
        <w:rPr>
          <w:sz w:val="20"/>
        </w:rPr>
      </w:pPr>
      <w:r>
        <w:rPr>
          <w:sz w:val="20"/>
        </w:rPr>
        <w:t>To</w:t>
      </w:r>
      <w:r w:rsidR="00142609">
        <w:rPr>
          <w:rFonts w:hint="eastAsia"/>
          <w:sz w:val="20"/>
        </w:rPr>
        <w:t xml:space="preserve"> use the same sequence</w:t>
      </w:r>
      <w:r>
        <w:rPr>
          <w:sz w:val="20"/>
        </w:rPr>
        <w:t xml:space="preserve"> over two S-PSS symbols</w:t>
      </w:r>
      <w:r>
        <w:rPr>
          <w:rFonts w:hint="eastAsia"/>
          <w:sz w:val="20"/>
        </w:rPr>
        <w:t xml:space="preserve"> can</w:t>
      </w:r>
      <w:r w:rsidR="00142609">
        <w:rPr>
          <w:rFonts w:hint="eastAsia"/>
          <w:sz w:val="20"/>
        </w:rPr>
        <w:t xml:space="preserve"> improve timing detection performance. </w:t>
      </w:r>
      <w:r>
        <w:rPr>
          <w:sz w:val="20"/>
        </w:rPr>
        <w:t xml:space="preserve">In fact, </w:t>
      </w:r>
      <w:r>
        <w:rPr>
          <w:rFonts w:hint="eastAsia"/>
          <w:sz w:val="20"/>
        </w:rPr>
        <w:t>LTE V2X uses</w:t>
      </w:r>
      <w:r w:rsidR="00142609">
        <w:rPr>
          <w:rFonts w:hint="eastAsia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same sequence over two symbols of PSSS, a</w:t>
      </w:r>
      <w:r w:rsidR="00142609">
        <w:rPr>
          <w:rFonts w:hint="eastAsia"/>
          <w:sz w:val="20"/>
        </w:rPr>
        <w:t xml:space="preserve">nd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same sequence over</w:t>
      </w:r>
      <w:r w:rsidR="00142609">
        <w:rPr>
          <w:rFonts w:hint="eastAsia"/>
          <w:sz w:val="20"/>
        </w:rPr>
        <w:t xml:space="preserve"> two symbols of SSSS</w:t>
      </w:r>
      <w:r>
        <w:rPr>
          <w:sz w:val="20"/>
        </w:rPr>
        <w:t xml:space="preserve"> as well</w:t>
      </w:r>
      <w:r w:rsidR="00142609">
        <w:rPr>
          <w:rFonts w:hint="eastAsia"/>
          <w:sz w:val="20"/>
        </w:rPr>
        <w:t xml:space="preserve">. It is natural to reuse the same design philosophy for NR V2X. </w:t>
      </w:r>
    </w:p>
    <w:p w:rsidR="00574466" w:rsidRDefault="00142609">
      <w:pPr>
        <w:pStyle w:val="YJ-Proposal"/>
        <w:adjustRightInd w:val="0"/>
        <w:snapToGrid w:val="0"/>
        <w:spacing w:before="120" w:after="120" w:line="260" w:lineRule="auto"/>
        <w:rPr>
          <w:rFonts w:eastAsia="SimSun"/>
          <w:szCs w:val="22"/>
          <w:lang w:val="en-US" w:eastAsia="zh-CN"/>
        </w:rPr>
      </w:pPr>
      <w:bookmarkStart w:id="7" w:name="_Toc20691574"/>
      <w:bookmarkStart w:id="8" w:name="_Toc14810"/>
      <w:bookmarkStart w:id="9" w:name="_Toc29029"/>
      <w:bookmarkStart w:id="10" w:name="_Toc23006"/>
      <w:bookmarkStart w:id="11" w:name="_Toc20581423"/>
      <w:bookmarkStart w:id="12" w:name="_Toc24161249"/>
      <w:r>
        <w:rPr>
          <w:rFonts w:hint="eastAsia"/>
          <w:szCs w:val="22"/>
          <w:lang w:val="en-US" w:eastAsia="zh-CN"/>
        </w:rPr>
        <w:t>Confirm the working assumption that same sequence is used for two symbols of S-PSS and same sequence is used for two symbols of S-SSS.</w:t>
      </w:r>
      <w:bookmarkEnd w:id="7"/>
      <w:bookmarkEnd w:id="8"/>
      <w:bookmarkEnd w:id="9"/>
      <w:bookmarkEnd w:id="10"/>
      <w:bookmarkEnd w:id="11"/>
      <w:bookmarkEnd w:id="12"/>
    </w:p>
    <w:p w:rsidR="00574466" w:rsidRDefault="00142609">
      <w:pPr>
        <w:pStyle w:val="Heading3"/>
        <w:spacing w:beforeLines="100" w:before="240" w:after="120"/>
        <w:ind w:right="210"/>
        <w:rPr>
          <w:szCs w:val="24"/>
        </w:rPr>
      </w:pPr>
      <w:bookmarkStart w:id="13" w:name="_Toc2419"/>
      <w:r>
        <w:rPr>
          <w:rFonts w:eastAsia="SimSun" w:hint="eastAsia"/>
          <w:szCs w:val="24"/>
        </w:rPr>
        <w:t xml:space="preserve">Timing of S-SSB transmission </w:t>
      </w:r>
      <w:bookmarkEnd w:id="13"/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sz w:val="20"/>
        </w:rPr>
        <w:t>In LTE V2X, one</w:t>
      </w:r>
      <w:r>
        <w:rPr>
          <w:rFonts w:hint="eastAsia"/>
          <w:sz w:val="20"/>
        </w:rPr>
        <w:t xml:space="preserve">, two or three </w:t>
      </w:r>
      <w:r>
        <w:rPr>
          <w:sz w:val="20"/>
        </w:rPr>
        <w:t>synchronization resource</w:t>
      </w:r>
      <w:r>
        <w:rPr>
          <w:rFonts w:hint="eastAsia"/>
          <w:sz w:val="20"/>
        </w:rPr>
        <w:t>s</w:t>
      </w:r>
      <w:r>
        <w:rPr>
          <w:sz w:val="20"/>
        </w:rPr>
        <w:t xml:space="preserve"> are configured in a synchronization resource period for in-coverage UEs to transmit SLSS/PSBCH. </w:t>
      </w:r>
      <w:r>
        <w:rPr>
          <w:rFonts w:hint="eastAsia"/>
          <w:sz w:val="20"/>
        </w:rPr>
        <w:t xml:space="preserve">According to the agreements in RAN1 #98bis, </w:t>
      </w:r>
      <w:r w:rsidR="00246CC4">
        <w:rPr>
          <w:rFonts w:hint="eastAsia"/>
          <w:sz w:val="20"/>
        </w:rPr>
        <w:t>(pre-)configuration</w:t>
      </w:r>
      <w:r w:rsidR="00246CC4">
        <w:rPr>
          <w:rFonts w:hint="eastAsia"/>
          <w:sz w:val="20"/>
        </w:rPr>
        <w:t xml:space="preserve"> </w:t>
      </w:r>
      <w:r w:rsidR="00246CC4">
        <w:rPr>
          <w:sz w:val="20"/>
        </w:rPr>
        <w:t xml:space="preserve">of </w:t>
      </w:r>
      <w:r>
        <w:rPr>
          <w:rFonts w:hint="eastAsia"/>
          <w:sz w:val="20"/>
        </w:rPr>
        <w:t xml:space="preserve">two or three </w:t>
      </w:r>
      <w:r>
        <w:rPr>
          <w:sz w:val="20"/>
        </w:rPr>
        <w:t>synchronization resource</w:t>
      </w:r>
      <w:r w:rsidR="00246CC4">
        <w:rPr>
          <w:rFonts w:hint="eastAsia"/>
          <w:sz w:val="20"/>
        </w:rPr>
        <w:t xml:space="preserve">s </w:t>
      </w:r>
      <w:r w:rsidR="00246CC4">
        <w:rPr>
          <w:sz w:val="20"/>
        </w:rPr>
        <w:t xml:space="preserve">in LTE </w:t>
      </w:r>
      <w:r w:rsidR="00C24AC0">
        <w:rPr>
          <w:rFonts w:hint="eastAsia"/>
          <w:sz w:val="20"/>
        </w:rPr>
        <w:t xml:space="preserve">is </w:t>
      </w:r>
      <w:r w:rsidR="00246CC4">
        <w:rPr>
          <w:rFonts w:hint="eastAsia"/>
          <w:sz w:val="20"/>
        </w:rPr>
        <w:t>reused in NR V2X. B</w:t>
      </w:r>
      <w:r w:rsidR="00246CC4">
        <w:rPr>
          <w:sz w:val="20"/>
        </w:rPr>
        <w:t>ecause</w:t>
      </w:r>
      <w:r>
        <w:rPr>
          <w:rFonts w:hint="eastAsia"/>
          <w:sz w:val="20"/>
        </w:rPr>
        <w:t xml:space="preserve"> multiple synchronization resources are includ</w:t>
      </w:r>
      <w:r w:rsidR="00246CC4">
        <w:rPr>
          <w:rFonts w:hint="eastAsia"/>
          <w:sz w:val="20"/>
        </w:rPr>
        <w:t>ed in S-SSB transmission window</w:t>
      </w:r>
      <w:r w:rsidR="00246CC4">
        <w:rPr>
          <w:sz w:val="20"/>
        </w:rPr>
        <w:t xml:space="preserve">, </w:t>
      </w:r>
      <w:r>
        <w:rPr>
          <w:rFonts w:hint="eastAsia"/>
          <w:sz w:val="20"/>
        </w:rPr>
        <w:t>of</w:t>
      </w:r>
      <w:r w:rsidR="00246CC4">
        <w:rPr>
          <w:rFonts w:hint="eastAsia"/>
          <w:sz w:val="20"/>
        </w:rPr>
        <w:t>fset indicator should be (pre-)</w:t>
      </w:r>
      <w:r>
        <w:rPr>
          <w:rFonts w:hint="eastAsia"/>
          <w:sz w:val="20"/>
        </w:rPr>
        <w:t>configured for each S-SSB transmission window (e.g., for the start of the multiple synchronization resources in S-SSB transmission window). In order to determi</w:t>
      </w:r>
      <w:r w:rsidR="00246CC4">
        <w:rPr>
          <w:rFonts w:hint="eastAsia"/>
          <w:sz w:val="20"/>
        </w:rPr>
        <w:t>ne timing of S-SSB transmission, t</w:t>
      </w:r>
      <w:r>
        <w:rPr>
          <w:rFonts w:hint="eastAsia"/>
          <w:sz w:val="20"/>
        </w:rPr>
        <w:t xml:space="preserve">wo options </w:t>
      </w:r>
      <w:r w:rsidR="00246CC4">
        <w:rPr>
          <w:sz w:val="20"/>
        </w:rPr>
        <w:t>can</w:t>
      </w:r>
      <w:r w:rsidR="00246CC4">
        <w:rPr>
          <w:rFonts w:hint="eastAsia"/>
          <w:sz w:val="20"/>
        </w:rPr>
        <w:t xml:space="preserve"> be considered</w:t>
      </w:r>
      <w:r>
        <w:rPr>
          <w:rFonts w:hint="eastAsia"/>
          <w:sz w:val="20"/>
        </w:rPr>
        <w:t>.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Option 1: SFN/DFN + S-SSB time index within transmission window</w:t>
      </w:r>
    </w:p>
    <w:p w:rsidR="00574466" w:rsidRDefault="00142609">
      <w:pPr>
        <w:numPr>
          <w:ilvl w:val="255"/>
          <w:numId w:val="0"/>
        </w:num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S-SSB time index within transmission window is mapped to slot index within S-SSB transmission window. This option can reduce indication bits in PSBCH. A pattern for synchronization resources within S-SSB transmission window need</w:t>
      </w:r>
      <w:r w:rsidR="00246CC4">
        <w:rPr>
          <w:sz w:val="20"/>
        </w:rPr>
        <w:t>s</w:t>
      </w:r>
      <w:r w:rsidR="00246CC4">
        <w:rPr>
          <w:rFonts w:hint="eastAsia"/>
          <w:sz w:val="20"/>
        </w:rPr>
        <w:t xml:space="preserve"> to be (pre-)</w:t>
      </w:r>
      <w:r>
        <w:rPr>
          <w:rFonts w:hint="eastAsia"/>
          <w:sz w:val="20"/>
        </w:rPr>
        <w:t xml:space="preserve">configured for every SCS. Based on the S-SSB time index derived from </w:t>
      </w:r>
      <w:r w:rsidR="00246CC4">
        <w:rPr>
          <w:sz w:val="20"/>
        </w:rPr>
        <w:t xml:space="preserve">the detected </w:t>
      </w:r>
      <w:r w:rsidR="00246CC4">
        <w:rPr>
          <w:rFonts w:hint="eastAsia"/>
          <w:sz w:val="20"/>
        </w:rPr>
        <w:t xml:space="preserve">S-SSB </w:t>
      </w:r>
      <w:r>
        <w:rPr>
          <w:rFonts w:hint="eastAsia"/>
          <w:sz w:val="20"/>
        </w:rPr>
        <w:t xml:space="preserve">and the pattern, UE can determine the timing of synchronization reference and the positions of other synchronization resources for S-SSB transmission. But it should be noted that the out-of-coverage UEs </w:t>
      </w:r>
      <w:r w:rsidR="00071880">
        <w:rPr>
          <w:sz w:val="20"/>
        </w:rPr>
        <w:t>cannot</w:t>
      </w:r>
      <w:r>
        <w:rPr>
          <w:rFonts w:hint="eastAsia"/>
          <w:sz w:val="20"/>
        </w:rPr>
        <w:t xml:space="preserve"> know the pattern configured in coverage.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Option 2: SFN/DFN + subframe number + S-SSB slot index within a subframe</w:t>
      </w:r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Subframe number and slot index of S-SSB within a subframe are indicated in </w:t>
      </w:r>
      <w:r w:rsidR="00246CC4">
        <w:rPr>
          <w:sz w:val="20"/>
        </w:rPr>
        <w:t>PSBCH</w:t>
      </w:r>
      <w:r>
        <w:rPr>
          <w:rFonts w:hint="eastAsia"/>
          <w:sz w:val="20"/>
        </w:rPr>
        <w:t xml:space="preserve">. In this way, </w:t>
      </w:r>
      <w:r w:rsidR="00246CC4">
        <w:rPr>
          <w:sz w:val="20"/>
        </w:rPr>
        <w:t>there is no need for S-SSB</w:t>
      </w:r>
      <w:r w:rsidR="00246CC4">
        <w:rPr>
          <w:rFonts w:hint="eastAsia"/>
          <w:sz w:val="20"/>
        </w:rPr>
        <w:t xml:space="preserve"> pattern (pre-)configuration</w:t>
      </w:r>
      <w:r>
        <w:rPr>
          <w:rFonts w:hint="eastAsia"/>
          <w:sz w:val="20"/>
        </w:rPr>
        <w:t xml:space="preserve">. </w:t>
      </w:r>
      <w:r w:rsidR="00246CC4">
        <w:rPr>
          <w:rFonts w:hint="eastAsia"/>
          <w:sz w:val="20"/>
        </w:rPr>
        <w:t>B</w:t>
      </w:r>
      <w:r w:rsidR="00246CC4">
        <w:rPr>
          <w:sz w:val="20"/>
        </w:rPr>
        <w:t>oth the in-coverage UE and t</w:t>
      </w:r>
      <w:r w:rsidR="00246CC4">
        <w:rPr>
          <w:rFonts w:hint="eastAsia"/>
          <w:sz w:val="20"/>
        </w:rPr>
        <w:t>he out-of-coverage UE</w:t>
      </w:r>
      <w:r w:rsidR="00246CC4">
        <w:rPr>
          <w:rFonts w:hint="eastAsia"/>
          <w:sz w:val="20"/>
        </w:rPr>
        <w:t xml:space="preserve"> can determine the timing of synchronization reference only based on indicated information.</w:t>
      </w:r>
    </w:p>
    <w:p w:rsidR="00574466" w:rsidRDefault="00246CC4">
      <w:pPr>
        <w:snapToGrid w:val="0"/>
        <w:spacing w:before="120" w:after="120" w:line="260" w:lineRule="auto"/>
        <w:rPr>
          <w:sz w:val="20"/>
        </w:rPr>
      </w:pPr>
      <w:r>
        <w:rPr>
          <w:sz w:val="20"/>
        </w:rPr>
        <w:t>Due to its native support to OOC UE</w:t>
      </w:r>
      <w:r w:rsidR="00142609">
        <w:rPr>
          <w:rFonts w:hint="eastAsia"/>
          <w:sz w:val="20"/>
        </w:rPr>
        <w:t>, we prefer to support option 2.</w:t>
      </w:r>
    </w:p>
    <w:p w:rsidR="00574466" w:rsidRDefault="00A229A5">
      <w:pPr>
        <w:pStyle w:val="YJ-Proposal"/>
        <w:adjustRightInd w:val="0"/>
        <w:spacing w:before="120" w:after="120"/>
        <w:rPr>
          <w:szCs w:val="22"/>
          <w:lang w:val="en-US" w:eastAsia="zh-CN"/>
        </w:rPr>
      </w:pPr>
      <w:bookmarkStart w:id="14" w:name="_Toc19721"/>
      <w:bookmarkStart w:id="15" w:name="_Toc24161250"/>
      <w:r>
        <w:rPr>
          <w:szCs w:val="22"/>
          <w:lang w:val="en-US" w:eastAsia="zh-CN"/>
        </w:rPr>
        <w:t>The</w:t>
      </w:r>
      <w:r w:rsidR="00142609">
        <w:rPr>
          <w:rFonts w:hint="eastAsia"/>
          <w:szCs w:val="22"/>
          <w:lang w:val="en-US" w:eastAsia="zh-CN"/>
        </w:rPr>
        <w:t xml:space="preserve"> timing of S-SSB </w:t>
      </w:r>
      <w:r>
        <w:rPr>
          <w:szCs w:val="22"/>
          <w:lang w:val="en-US" w:eastAsia="zh-CN"/>
        </w:rPr>
        <w:t xml:space="preserve">is indicated </w:t>
      </w:r>
      <w:r w:rsidR="00142609">
        <w:rPr>
          <w:rFonts w:hint="eastAsia"/>
          <w:szCs w:val="22"/>
          <w:lang w:val="en-US" w:eastAsia="zh-CN"/>
        </w:rPr>
        <w:t>based on SFN/DFN, subframe number and S-SSB slot index within a subframe.</w:t>
      </w:r>
      <w:bookmarkEnd w:id="14"/>
      <w:bookmarkEnd w:id="15"/>
    </w:p>
    <w:p w:rsidR="00574466" w:rsidRDefault="00142609">
      <w:pPr>
        <w:pStyle w:val="Heading3"/>
        <w:spacing w:beforeLines="100" w:before="240" w:after="120"/>
        <w:ind w:right="210"/>
        <w:rPr>
          <w:rFonts w:eastAsia="SimSun"/>
          <w:szCs w:val="24"/>
        </w:rPr>
      </w:pPr>
      <w:bookmarkStart w:id="16" w:name="_Toc8482"/>
      <w:r>
        <w:rPr>
          <w:rFonts w:eastAsia="SimSun" w:hint="eastAsia"/>
          <w:szCs w:val="24"/>
        </w:rPr>
        <w:t>PSBCH DM-RS design</w:t>
      </w:r>
      <w:bookmarkEnd w:id="16"/>
    </w:p>
    <w:p w:rsidR="00574466" w:rsidRDefault="00246CC4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The email discussion [98b-NR-17] leaves</w:t>
      </w:r>
      <w:r w:rsidR="00142609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two pending issues</w:t>
      </w:r>
      <w:r w:rsidR="001A60FC">
        <w:rPr>
          <w:sz w:val="20"/>
        </w:rPr>
        <w:t xml:space="preserve"> as following</w:t>
      </w:r>
      <w:r w:rsidR="00142609">
        <w:rPr>
          <w:rFonts w:hint="eastAsia"/>
          <w:sz w:val="20"/>
        </w:rPr>
        <w:t xml:space="preserve">.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DM-RS RE position shift in frequency domain</w:t>
      </w:r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It is reasonable to reuse the DM-RS design of </w:t>
      </w:r>
      <w:r w:rsidR="001A60FC">
        <w:rPr>
          <w:sz w:val="20"/>
        </w:rPr>
        <w:t xml:space="preserve">NR Uu </w:t>
      </w:r>
      <w:r w:rsidR="001A60FC">
        <w:rPr>
          <w:rFonts w:hint="eastAsia"/>
          <w:sz w:val="20"/>
        </w:rPr>
        <w:t>PBCH</w:t>
      </w:r>
      <w:r>
        <w:rPr>
          <w:rFonts w:hint="eastAsia"/>
          <w:sz w:val="20"/>
        </w:rPr>
        <w:t xml:space="preserve"> </w:t>
      </w:r>
      <w:r w:rsidR="001A60FC">
        <w:rPr>
          <w:sz w:val="20"/>
        </w:rPr>
        <w:t xml:space="preserve">given there is only one </w:t>
      </w:r>
      <w:r w:rsidR="001A60FC">
        <w:rPr>
          <w:rFonts w:hint="eastAsia"/>
          <w:sz w:val="20"/>
        </w:rPr>
        <w:t xml:space="preserve">meeting </w:t>
      </w:r>
      <w:r>
        <w:rPr>
          <w:rFonts w:hint="eastAsia"/>
          <w:sz w:val="20"/>
        </w:rPr>
        <w:t>left for Rel-16 NR V2X WI. To determine DM-RS RE position shift in frequency doma</w:t>
      </w:r>
      <w:r w:rsidR="001A60FC">
        <w:rPr>
          <w:rFonts w:hint="eastAsia"/>
          <w:sz w:val="20"/>
        </w:rPr>
        <w:t>in, SL-SSID can replace cell ID, i.</w:t>
      </w:r>
      <w:r w:rsidR="001A60FC">
        <w:rPr>
          <w:sz w:val="20"/>
        </w:rPr>
        <w:t>e.,</w:t>
      </w:r>
      <w:r>
        <w:rPr>
          <w:rFonts w:hint="eastAsia"/>
          <w:sz w:val="20"/>
        </w:rPr>
        <w:t xml:space="preserve"> </w:t>
      </w:r>
      <w:r>
        <w:rPr>
          <w:rFonts w:hint="eastAsia"/>
          <w:i/>
          <w:iCs/>
          <w:sz w:val="20"/>
        </w:rPr>
        <w:t>v</w:t>
      </w:r>
      <w:r w:rsidR="00C24AC0">
        <w:rPr>
          <w:rFonts w:hint="eastAsia"/>
          <w:sz w:val="20"/>
        </w:rPr>
        <w:t xml:space="preserve"> = SL-SSID mod 4, w</w:t>
      </w:r>
      <w:r>
        <w:rPr>
          <w:rFonts w:hint="eastAsia"/>
          <w:sz w:val="20"/>
        </w:rPr>
        <w:t xml:space="preserve">here </w:t>
      </w:r>
      <w:r>
        <w:rPr>
          <w:rFonts w:hint="eastAsia"/>
          <w:i/>
          <w:iCs/>
          <w:sz w:val="20"/>
        </w:rPr>
        <w:t>v</w:t>
      </w:r>
      <w:r>
        <w:rPr>
          <w:rFonts w:hint="eastAsia"/>
          <w:sz w:val="20"/>
        </w:rPr>
        <w:t xml:space="preserve"> is the shift value of DM-RS RE position. </w:t>
      </w:r>
    </w:p>
    <w:p w:rsidR="00574466" w:rsidRDefault="001A60FC">
      <w:pPr>
        <w:snapToGrid w:val="0"/>
        <w:spacing w:before="120" w:after="120" w:line="260" w:lineRule="auto"/>
        <w:rPr>
          <w:sz w:val="20"/>
        </w:rPr>
      </w:pPr>
      <w:r>
        <w:rPr>
          <w:sz w:val="20"/>
        </w:rPr>
        <w:t>In</w:t>
      </w:r>
      <w:r w:rsidR="00142609">
        <w:rPr>
          <w:rFonts w:hint="eastAsia"/>
          <w:sz w:val="20"/>
        </w:rPr>
        <w:t xml:space="preserve"> </w:t>
      </w:r>
      <w:r w:rsidR="00142609">
        <w:rPr>
          <w:sz w:val="20"/>
        </w:rPr>
        <w:t xml:space="preserve">the </w:t>
      </w:r>
      <w:r>
        <w:rPr>
          <w:sz w:val="20"/>
        </w:rPr>
        <w:t xml:space="preserve">LTE V2X </w:t>
      </w:r>
      <w:r w:rsidR="00142609">
        <w:rPr>
          <w:sz w:val="20"/>
        </w:rPr>
        <w:t xml:space="preserve">synchronization reference </w:t>
      </w:r>
      <w:r w:rsidR="00142609">
        <w:rPr>
          <w:rFonts w:hint="eastAsia"/>
          <w:sz w:val="20"/>
        </w:rPr>
        <w:t xml:space="preserve">selection procedure, the UEs selecting the same timing reference (with the same synchronization priority order) derived </w:t>
      </w:r>
      <w:r w:rsidR="00071880">
        <w:rPr>
          <w:sz w:val="20"/>
        </w:rPr>
        <w:t>from</w:t>
      </w:r>
      <w:r w:rsidR="00142609">
        <w:rPr>
          <w:rFonts w:hint="eastAsia"/>
          <w:sz w:val="20"/>
        </w:rPr>
        <w:t xml:space="preserve"> the same synchronization source would select </w:t>
      </w:r>
      <w:r>
        <w:rPr>
          <w:sz w:val="20"/>
        </w:rPr>
        <w:t xml:space="preserve">the </w:t>
      </w:r>
      <w:r w:rsidR="00142609">
        <w:rPr>
          <w:rFonts w:hint="eastAsia"/>
          <w:sz w:val="20"/>
        </w:rPr>
        <w:t xml:space="preserve">same SL-SSID. </w:t>
      </w:r>
      <w:r>
        <w:rPr>
          <w:sz w:val="20"/>
        </w:rPr>
        <w:t xml:space="preserve">As a working assumption, </w:t>
      </w:r>
      <w:r>
        <w:rPr>
          <w:rFonts w:hint="eastAsia"/>
          <w:sz w:val="20"/>
        </w:rPr>
        <w:t>the LTE</w:t>
      </w:r>
      <w:r w:rsidR="00142609">
        <w:rPr>
          <w:rFonts w:hint="eastAsia"/>
          <w:sz w:val="20"/>
        </w:rPr>
        <w:t xml:space="preserve"> </w:t>
      </w:r>
      <w:r w:rsidR="00142609">
        <w:rPr>
          <w:sz w:val="20"/>
        </w:rPr>
        <w:t xml:space="preserve">synchronization reference </w:t>
      </w:r>
      <w:r w:rsidR="00142609">
        <w:rPr>
          <w:rFonts w:hint="eastAsia"/>
          <w:sz w:val="20"/>
        </w:rPr>
        <w:t xml:space="preserve">selection procedure </w:t>
      </w:r>
      <w:r>
        <w:rPr>
          <w:sz w:val="20"/>
        </w:rPr>
        <w:t xml:space="preserve">is reused </w:t>
      </w:r>
      <w:r w:rsidR="00142609">
        <w:rPr>
          <w:rFonts w:hint="eastAsia"/>
          <w:sz w:val="20"/>
        </w:rPr>
        <w:t xml:space="preserve">in NR V2X. Based on the </w:t>
      </w:r>
      <w:r w:rsidR="00142609">
        <w:rPr>
          <w:rFonts w:hint="eastAsia"/>
          <w:sz w:val="20"/>
        </w:rPr>
        <w:lastRenderedPageBreak/>
        <w:t xml:space="preserve">synchronization </w:t>
      </w:r>
      <w:r w:rsidR="00142609">
        <w:rPr>
          <w:sz w:val="20"/>
        </w:rPr>
        <w:t xml:space="preserve">reference </w:t>
      </w:r>
      <w:r w:rsidR="00142609">
        <w:rPr>
          <w:rFonts w:hint="eastAsia"/>
          <w:sz w:val="20"/>
        </w:rPr>
        <w:t xml:space="preserve">selection and same DM-RS RE position shift in every symbol of PSBCH, the reference UEs with the same timing reference will send S-SSB with same </w:t>
      </w:r>
      <w:r>
        <w:rPr>
          <w:sz w:val="20"/>
        </w:rPr>
        <w:t xml:space="preserve">PSBCH DMRS </w:t>
      </w:r>
      <w:r>
        <w:rPr>
          <w:rFonts w:hint="eastAsia"/>
          <w:sz w:val="20"/>
        </w:rPr>
        <w:t>RE shift in frequency domain</w:t>
      </w:r>
      <w:r w:rsidR="00142609">
        <w:rPr>
          <w:rFonts w:hint="eastAsia"/>
          <w:sz w:val="20"/>
        </w:rPr>
        <w:t>. SFN transmission of S-SSB would not be impacted.</w:t>
      </w:r>
    </w:p>
    <w:p w:rsidR="00574466" w:rsidRPr="00A229A5" w:rsidRDefault="00142609">
      <w:pPr>
        <w:pStyle w:val="YJ-Proposal"/>
        <w:adjustRightInd w:val="0"/>
        <w:spacing w:before="120" w:after="120"/>
        <w:rPr>
          <w:lang w:val="en-US" w:eastAsia="zh-CN"/>
        </w:rPr>
      </w:pPr>
      <w:bookmarkStart w:id="17" w:name="_Toc25600"/>
      <w:r w:rsidRPr="00A229A5">
        <w:rPr>
          <w:rFonts w:hint="eastAsia"/>
          <w:lang w:val="en-US" w:eastAsia="zh-CN"/>
        </w:rPr>
        <w:t> </w:t>
      </w:r>
      <w:bookmarkStart w:id="18" w:name="_Toc24161251"/>
      <w:r w:rsidRPr="00A229A5">
        <w:rPr>
          <w:rFonts w:hint="eastAsia"/>
          <w:lang w:val="en-US" w:eastAsia="zh-CN"/>
        </w:rPr>
        <w:t xml:space="preserve">SL-SSID instead of cell ID is used </w:t>
      </w:r>
      <w:r w:rsidR="00A229A5" w:rsidRPr="00A229A5">
        <w:rPr>
          <w:lang w:val="en-US" w:eastAsia="zh-CN"/>
        </w:rPr>
        <w:t>to determine</w:t>
      </w:r>
      <w:r w:rsidR="00A229A5" w:rsidRPr="00A229A5">
        <w:rPr>
          <w:rFonts w:hint="eastAsia"/>
          <w:lang w:val="en-US" w:eastAsia="zh-CN"/>
        </w:rPr>
        <w:t xml:space="preserve"> the frequency domain </w:t>
      </w:r>
      <w:r w:rsidR="00A229A5" w:rsidRPr="00A229A5">
        <w:rPr>
          <w:lang w:val="en-US" w:eastAsia="zh-CN"/>
        </w:rPr>
        <w:t xml:space="preserve">shift of </w:t>
      </w:r>
      <w:r w:rsidR="00A229A5" w:rsidRPr="00A229A5">
        <w:rPr>
          <w:rFonts w:hint="eastAsia"/>
          <w:lang w:val="en-US" w:eastAsia="zh-CN"/>
        </w:rPr>
        <w:t>DM-RS RE in</w:t>
      </w:r>
      <w:r w:rsidRPr="00A229A5">
        <w:rPr>
          <w:rFonts w:hint="eastAsia"/>
          <w:lang w:val="en-US" w:eastAsia="zh-CN"/>
        </w:rPr>
        <w:t xml:space="preserve"> all </w:t>
      </w:r>
      <w:r w:rsidR="00116DC3" w:rsidRPr="00A229A5">
        <w:rPr>
          <w:lang w:val="en-US" w:eastAsia="zh-CN"/>
        </w:rPr>
        <w:t xml:space="preserve">DMRS </w:t>
      </w:r>
      <w:r w:rsidRPr="00A229A5">
        <w:rPr>
          <w:rFonts w:hint="eastAsia"/>
          <w:lang w:val="en-US" w:eastAsia="zh-CN"/>
        </w:rPr>
        <w:t>symbols of PSBCH.</w:t>
      </w:r>
      <w:bookmarkEnd w:id="17"/>
      <w:bookmarkEnd w:id="18"/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the number of PSBCH symbols that contain DM-RS</w:t>
      </w:r>
    </w:p>
    <w:p w:rsidR="00574466" w:rsidRDefault="001A60FC">
      <w:pPr>
        <w:snapToGrid w:val="0"/>
        <w:spacing w:before="120" w:after="120" w:line="260" w:lineRule="auto"/>
        <w:rPr>
          <w:sz w:val="20"/>
        </w:rPr>
      </w:pPr>
      <w:r>
        <w:rPr>
          <w:sz w:val="20"/>
        </w:rPr>
        <w:t>With the PSBCH evaluation assumption</w:t>
      </w:r>
      <w:r w:rsidR="0098623A">
        <w:rPr>
          <w:rFonts w:hint="eastAsia"/>
          <w:sz w:val="20"/>
        </w:rPr>
        <w:t xml:space="preserve">, the channel coding rate is </w:t>
      </w:r>
      <w:r w:rsidR="00142609">
        <w:rPr>
          <w:rFonts w:hint="eastAsia"/>
          <w:sz w:val="20"/>
        </w:rPr>
        <w:t xml:space="preserve">low </w:t>
      </w:r>
      <w:r w:rsidR="0098623A">
        <w:rPr>
          <w:sz w:val="20"/>
        </w:rPr>
        <w:t xml:space="preserve">regardless </w:t>
      </w:r>
      <w:r w:rsidR="00142609">
        <w:rPr>
          <w:rFonts w:hint="eastAsia"/>
          <w:sz w:val="20"/>
        </w:rPr>
        <w:t xml:space="preserve">whether every PSBCH symbol has DM-RS or every </w:t>
      </w:r>
      <w:r w:rsidR="0098623A">
        <w:rPr>
          <w:sz w:val="20"/>
        </w:rPr>
        <w:t>other</w:t>
      </w:r>
      <w:r w:rsidR="0098623A">
        <w:rPr>
          <w:rFonts w:hint="eastAsia"/>
          <w:sz w:val="20"/>
        </w:rPr>
        <w:t xml:space="preserve"> PSBCH symbol</w:t>
      </w:r>
      <w:r w:rsidR="00142609">
        <w:rPr>
          <w:rFonts w:hint="eastAsia"/>
          <w:sz w:val="20"/>
        </w:rPr>
        <w:t xml:space="preserve"> has DM-RS (</w:t>
      </w:r>
      <w:r w:rsidR="0098623A">
        <w:rPr>
          <w:sz w:val="20"/>
        </w:rPr>
        <w:t xml:space="preserve">the code rate are </w:t>
      </w:r>
      <w:r w:rsidR="00142609">
        <w:rPr>
          <w:rFonts w:hint="eastAsia"/>
          <w:sz w:val="20"/>
        </w:rPr>
        <w:t xml:space="preserve">0.035 and 0.030 respectively). The difference would not impact PSBCH performance significantly. </w:t>
      </w:r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eastAsia="DengXian" w:hint="eastAsia"/>
          <w:sz w:val="20"/>
        </w:rPr>
        <w:t>We evaluate PSBCH performance with 8 symbols for PSBCH (the first symbol in the slot is punched for AGC), including the following two cases. Other simulation a</w:t>
      </w:r>
      <w:r w:rsidR="001A60FC">
        <w:rPr>
          <w:rFonts w:eastAsia="DengXian" w:hint="eastAsia"/>
          <w:sz w:val="20"/>
        </w:rPr>
        <w:t>ssumptions can be found</w:t>
      </w:r>
      <w:r>
        <w:rPr>
          <w:rFonts w:eastAsia="DengXian" w:hint="eastAsia"/>
          <w:sz w:val="20"/>
        </w:rPr>
        <w:t xml:space="preserve"> in Appendix A.</w:t>
      </w:r>
      <w:r>
        <w:rPr>
          <w:rFonts w:hint="eastAsia"/>
          <w:sz w:val="20"/>
        </w:rPr>
        <w:t xml:space="preserve"> </w:t>
      </w:r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Case 1: every PSBCH symbol has DM-RS</w:t>
      </w:r>
    </w:p>
    <w:p w:rsidR="00574466" w:rsidRDefault="00142609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Case 2: every </w:t>
      </w:r>
      <w:r w:rsidR="0098623A">
        <w:rPr>
          <w:sz w:val="20"/>
        </w:rPr>
        <w:t>other</w:t>
      </w:r>
      <w:r w:rsidR="0098623A">
        <w:rPr>
          <w:rFonts w:hint="eastAsia"/>
          <w:sz w:val="20"/>
        </w:rPr>
        <w:t xml:space="preserve"> PSBCH symbol</w:t>
      </w:r>
      <w:r>
        <w:rPr>
          <w:rFonts w:hint="eastAsia"/>
          <w:sz w:val="20"/>
        </w:rPr>
        <w:t xml:space="preserve"> has DM-RS</w:t>
      </w:r>
      <w:r w:rsidR="0098623A">
        <w:rPr>
          <w:sz w:val="20"/>
        </w:rPr>
        <w:t xml:space="preserve"> (i.e., every two PSBCH symbols have one symbol containing DMRS)</w:t>
      </w:r>
    </w:p>
    <w:p w:rsidR="00574466" w:rsidRDefault="00142609">
      <w:pPr>
        <w:snapToGrid w:val="0"/>
        <w:spacing w:before="120" w:after="120" w:line="260" w:lineRule="auto"/>
        <w:jc w:val="center"/>
        <w:rPr>
          <w:sz w:val="20"/>
        </w:rPr>
      </w:pPr>
      <w:r>
        <w:rPr>
          <w:noProof/>
        </w:rPr>
        <w:drawing>
          <wp:inline distT="0" distB="0" distL="114300" distR="114300">
            <wp:extent cx="5273040" cy="343979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3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4466" w:rsidRDefault="00142609">
      <w:pPr>
        <w:snapToGrid w:val="0"/>
        <w:spacing w:before="120" w:after="120" w:line="260" w:lineRule="auto"/>
        <w:jc w:val="center"/>
        <w:rPr>
          <w:sz w:val="20"/>
        </w:rPr>
      </w:pPr>
      <w:r>
        <w:rPr>
          <w:rFonts w:hint="eastAsia"/>
          <w:sz w:val="20"/>
        </w:rPr>
        <w:t>Fig. 1 PSBCH decoding performance for 240 km/h</w:t>
      </w:r>
    </w:p>
    <w:p w:rsidR="00574466" w:rsidRDefault="00544690">
      <w:pPr>
        <w:snapToGrid w:val="0"/>
        <w:spacing w:before="120" w:after="120" w:line="260" w:lineRule="auto"/>
        <w:rPr>
          <w:sz w:val="20"/>
        </w:rPr>
      </w:pPr>
      <w:r>
        <w:rPr>
          <w:sz w:val="20"/>
          <w:szCs w:val="22"/>
        </w:rPr>
        <w:t>The performance</w:t>
      </w:r>
      <w:r w:rsidR="00142609">
        <w:rPr>
          <w:sz w:val="20"/>
          <w:szCs w:val="22"/>
        </w:rPr>
        <w:t xml:space="preserve"> results </w:t>
      </w:r>
      <w:r w:rsidR="00142609">
        <w:rPr>
          <w:rFonts w:hint="eastAsia"/>
          <w:sz w:val="20"/>
          <w:szCs w:val="22"/>
        </w:rPr>
        <w:t>in Fig.1</w:t>
      </w:r>
      <w:r w:rsidR="00142609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show that case 1 </w:t>
      </w:r>
      <w:r w:rsidR="00142609">
        <w:rPr>
          <w:sz w:val="20"/>
          <w:szCs w:val="22"/>
        </w:rPr>
        <w:t xml:space="preserve">has a </w:t>
      </w:r>
      <w:r w:rsidR="00142609">
        <w:rPr>
          <w:rFonts w:hint="eastAsia"/>
          <w:sz w:val="20"/>
          <w:szCs w:val="22"/>
        </w:rPr>
        <w:t xml:space="preserve">slight </w:t>
      </w:r>
      <w:r w:rsidR="00142609">
        <w:rPr>
          <w:sz w:val="20"/>
          <w:szCs w:val="22"/>
        </w:rPr>
        <w:t>performance gain</w:t>
      </w:r>
      <w:r>
        <w:rPr>
          <w:rFonts w:hint="eastAsia"/>
          <w:sz w:val="20"/>
          <w:szCs w:val="22"/>
        </w:rPr>
        <w:t xml:space="preserve"> over</w:t>
      </w:r>
      <w:r w:rsidR="0098623A">
        <w:rPr>
          <w:sz w:val="20"/>
          <w:szCs w:val="22"/>
        </w:rPr>
        <w:t xml:space="preserve"> case 2</w:t>
      </w:r>
      <w:r w:rsidR="00142609">
        <w:rPr>
          <w:sz w:val="20"/>
          <w:szCs w:val="22"/>
        </w:rPr>
        <w:t>. This is because the channel coding rate difference between the two cases is not large, while the performance difference of channel estimation due to different DMRS densities plays a key role.</w:t>
      </w:r>
    </w:p>
    <w:p w:rsidR="00574466" w:rsidRDefault="00142609">
      <w:pPr>
        <w:pStyle w:val="YJ-Observation"/>
        <w:spacing w:before="120" w:after="120"/>
      </w:pPr>
      <w:bookmarkStart w:id="19" w:name="_Toc10895"/>
      <w:bookmarkStart w:id="20" w:name="_Toc20691159"/>
      <w:bookmarkStart w:id="21" w:name="_Toc20581369"/>
      <w:bookmarkStart w:id="22" w:name="_Toc11088"/>
      <w:bookmarkStart w:id="23" w:name="_Toc7474984"/>
      <w:bookmarkStart w:id="24" w:name="_Toc7118"/>
      <w:bookmarkStart w:id="25" w:name="_Toc4170"/>
      <w:bookmarkStart w:id="26" w:name="_Toc13087"/>
      <w:bookmarkStart w:id="27" w:name="_Toc24161245"/>
      <w:r>
        <w:rPr>
          <w:szCs w:val="22"/>
          <w:lang w:val="en-US" w:eastAsia="zh-CN"/>
        </w:rPr>
        <w:t xml:space="preserve">For PSBCH DM-RS, case 1 (every PSBCH symbol has DM-RS) shows better performance than case 2 (every </w:t>
      </w:r>
      <w:r w:rsidR="0098623A">
        <w:rPr>
          <w:szCs w:val="22"/>
          <w:lang w:val="en-US" w:eastAsia="zh-CN"/>
        </w:rPr>
        <w:t>other PSBCH symbol</w:t>
      </w:r>
      <w:r>
        <w:rPr>
          <w:szCs w:val="22"/>
          <w:lang w:val="en-US" w:eastAsia="zh-CN"/>
        </w:rPr>
        <w:t xml:space="preserve"> has DM-RS).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7"/>
      <w:r>
        <w:rPr>
          <w:szCs w:val="22"/>
          <w:lang w:val="en-US" w:eastAsia="zh-CN"/>
        </w:rPr>
        <w:t xml:space="preserve"> </w:t>
      </w:r>
      <w:bookmarkStart w:id="28" w:name="_Toc27001"/>
      <w:bookmarkEnd w:id="26"/>
      <w:bookmarkEnd w:id="28"/>
    </w:p>
    <w:p w:rsidR="00574466" w:rsidRDefault="0098623A">
      <w:pPr>
        <w:pStyle w:val="YJ-Proposal"/>
        <w:adjustRightInd w:val="0"/>
        <w:spacing w:before="120" w:after="120"/>
        <w:rPr>
          <w:szCs w:val="22"/>
          <w:lang w:val="en-US" w:eastAsia="zh-CN"/>
        </w:rPr>
      </w:pPr>
      <w:bookmarkStart w:id="29" w:name="_Toc18401"/>
      <w:bookmarkStart w:id="30" w:name="_Toc24161252"/>
      <w:r>
        <w:rPr>
          <w:szCs w:val="22"/>
          <w:lang w:val="en-US" w:eastAsia="zh-CN"/>
        </w:rPr>
        <w:t>E</w:t>
      </w:r>
      <w:r w:rsidR="00142609">
        <w:rPr>
          <w:rFonts w:hint="eastAsia"/>
          <w:szCs w:val="22"/>
          <w:lang w:val="en-US" w:eastAsia="zh-CN"/>
        </w:rPr>
        <w:t>very PSBCH symbol has DM-RS.</w:t>
      </w:r>
      <w:bookmarkEnd w:id="29"/>
      <w:bookmarkEnd w:id="30"/>
    </w:p>
    <w:p w:rsidR="00574466" w:rsidRDefault="00574466">
      <w:pPr>
        <w:spacing w:before="120" w:after="120"/>
        <w:rPr>
          <w:sz w:val="20"/>
        </w:rPr>
      </w:pPr>
    </w:p>
    <w:p w:rsidR="00574466" w:rsidRDefault="00142609">
      <w:pPr>
        <w:pStyle w:val="Heading2"/>
        <w:adjustRightInd w:val="0"/>
        <w:snapToGrid w:val="0"/>
        <w:spacing w:before="120" w:after="120" w:line="260" w:lineRule="auto"/>
        <w:ind w:left="991" w:right="210" w:hangingChars="354" w:hanging="991"/>
      </w:pPr>
      <w:bookmarkStart w:id="31" w:name="_Toc23345"/>
      <w:r>
        <w:rPr>
          <w:rFonts w:hint="eastAsia"/>
          <w:szCs w:val="22"/>
        </w:rPr>
        <w:lastRenderedPageBreak/>
        <w:t xml:space="preserve">PSBCH </w:t>
      </w:r>
      <w:r>
        <w:rPr>
          <w:rFonts w:eastAsia="SimSun" w:hint="eastAsia"/>
          <w:szCs w:val="22"/>
        </w:rPr>
        <w:t>content</w:t>
      </w:r>
      <w:bookmarkEnd w:id="31"/>
      <w:r>
        <w:rPr>
          <w:rFonts w:hint="eastAsia"/>
          <w:szCs w:val="22"/>
        </w:rPr>
        <w:t xml:space="preserve"> 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TDD configuration</w:t>
      </w:r>
    </w:p>
    <w:p w:rsidR="00574466" w:rsidRDefault="00142609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</w:rPr>
        <w:t xml:space="preserve">System-wide information, e.g., </w:t>
      </w:r>
      <w:r>
        <w:rPr>
          <w:rFonts w:hint="eastAsia"/>
          <w:i/>
          <w:iCs/>
          <w:sz w:val="20"/>
          <w:szCs w:val="22"/>
        </w:rPr>
        <w:t>TDD-UL-DL-ConfigCommon</w:t>
      </w:r>
      <w:r>
        <w:rPr>
          <w:rFonts w:hint="eastAsia"/>
          <w:sz w:val="20"/>
          <w:szCs w:val="22"/>
        </w:rPr>
        <w:t xml:space="preserve"> is indicated </w:t>
      </w:r>
      <w:r w:rsidR="00273B1C">
        <w:rPr>
          <w:sz w:val="20"/>
          <w:szCs w:val="22"/>
        </w:rPr>
        <w:t>f</w:t>
      </w:r>
      <w:r>
        <w:rPr>
          <w:rFonts w:hint="eastAsia"/>
          <w:sz w:val="20"/>
          <w:szCs w:val="22"/>
        </w:rPr>
        <w:t xml:space="preserve">or potential SL slots, e.g., only UL slots are indicated. </w:t>
      </w:r>
      <w:r w:rsidR="00191934">
        <w:rPr>
          <w:sz w:val="20"/>
          <w:szCs w:val="22"/>
        </w:rPr>
        <w:t>With</w:t>
      </w:r>
      <w:r>
        <w:rPr>
          <w:rFonts w:hint="eastAsia"/>
          <w:sz w:val="20"/>
          <w:szCs w:val="22"/>
        </w:rPr>
        <w:t xml:space="preserve"> th</w:t>
      </w:r>
      <w:r w:rsidR="00191934">
        <w:rPr>
          <w:rFonts w:hint="eastAsia"/>
          <w:sz w:val="20"/>
          <w:szCs w:val="22"/>
        </w:rPr>
        <w:t>e largest period of 10ms and two-period configuration</w:t>
      </w:r>
      <w:r>
        <w:rPr>
          <w:rFonts w:hint="eastAsia"/>
          <w:sz w:val="20"/>
          <w:szCs w:val="22"/>
        </w:rPr>
        <w:t xml:space="preserve">, </w:t>
      </w:r>
      <w:r w:rsidR="00191934">
        <w:rPr>
          <w:rFonts w:hint="eastAsia"/>
          <w:sz w:val="20"/>
          <w:szCs w:val="22"/>
        </w:rPr>
        <w:t>the payload size of this field c</w:t>
      </w:r>
      <w:r>
        <w:rPr>
          <w:rFonts w:hint="eastAsia"/>
          <w:sz w:val="20"/>
          <w:szCs w:val="22"/>
        </w:rPr>
        <w:t xml:space="preserve">ould be very large. For example, </w:t>
      </w:r>
      <w:r w:rsidR="00DF648A">
        <w:rPr>
          <w:rFonts w:hint="eastAsia"/>
          <w:sz w:val="20"/>
          <w:szCs w:val="22"/>
        </w:rPr>
        <w:t xml:space="preserve">in </w:t>
      </w:r>
      <w:r w:rsidR="00DF648A">
        <w:rPr>
          <w:rFonts w:hint="eastAsia"/>
          <w:i/>
          <w:iCs/>
          <w:sz w:val="20"/>
          <w:szCs w:val="22"/>
        </w:rPr>
        <w:t>TDD-UL-DL-ConfigCommon</w:t>
      </w:r>
      <w:r w:rsidR="00DF648A">
        <w:rPr>
          <w:rFonts w:hint="eastAsia"/>
          <w:sz w:val="20"/>
          <w:szCs w:val="22"/>
        </w:rPr>
        <w:t xml:space="preserve">, the field </w:t>
      </w:r>
      <w:r w:rsidR="00DF648A">
        <w:rPr>
          <w:i/>
          <w:iCs/>
        </w:rPr>
        <w:t>dl-UL-TransmissionPeriodicity</w:t>
      </w:r>
      <w:r w:rsidR="00DF648A">
        <w:rPr>
          <w:rFonts w:hint="eastAsia"/>
          <w:sz w:val="20"/>
          <w:szCs w:val="22"/>
        </w:rPr>
        <w:t xml:space="preserve"> (configuration period) needs 3 bits to indicate 8 values. </w:t>
      </w:r>
      <w:r w:rsidR="00191934">
        <w:rPr>
          <w:sz w:val="20"/>
          <w:szCs w:val="22"/>
        </w:rPr>
        <w:t>For the indications of</w:t>
      </w:r>
      <w:r w:rsidR="00DF648A">
        <w:rPr>
          <w:rFonts w:hint="eastAsia"/>
          <w:sz w:val="20"/>
          <w:szCs w:val="22"/>
        </w:rPr>
        <w:t xml:space="preserve"> uplink slots (</w:t>
      </w:r>
      <w:r w:rsidR="00DF648A">
        <w:rPr>
          <w:i/>
          <w:iCs/>
        </w:rPr>
        <w:t>nrofUplinkSlots</w:t>
      </w:r>
      <w:r w:rsidR="00DF648A">
        <w:rPr>
          <w:rFonts w:hint="eastAsia"/>
          <w:sz w:val="20"/>
          <w:szCs w:val="22"/>
        </w:rPr>
        <w:t>) and uplink symbols (</w:t>
      </w:r>
      <w:r w:rsidR="00DF648A">
        <w:rPr>
          <w:i/>
          <w:iCs/>
        </w:rPr>
        <w:t>nrofUplinkSymbols</w:t>
      </w:r>
      <w:r w:rsidR="00DF648A">
        <w:rPr>
          <w:rFonts w:hint="eastAsia"/>
          <w:sz w:val="20"/>
          <w:szCs w:val="22"/>
        </w:rPr>
        <w:t>), 9 bits and 4 bits are needed respectively. So 32 bits are needed totally to indicate TDD configuration information if two periods are considered</w:t>
      </w:r>
      <w:r w:rsidR="00191934">
        <w:rPr>
          <w:sz w:val="20"/>
          <w:szCs w:val="22"/>
        </w:rPr>
        <w:t xml:space="preserve"> and only UL slots/symbols are necessarily indicated</w:t>
      </w:r>
      <w:r w:rsidR="00DF648A">
        <w:rPr>
          <w:rFonts w:hint="eastAsia"/>
          <w:sz w:val="20"/>
          <w:szCs w:val="22"/>
        </w:rPr>
        <w:t xml:space="preserve">. If flexible slots are </w:t>
      </w:r>
      <w:r w:rsidR="00191934">
        <w:rPr>
          <w:sz w:val="20"/>
          <w:szCs w:val="22"/>
        </w:rPr>
        <w:t xml:space="preserve">additionally </w:t>
      </w:r>
      <w:r w:rsidR="00DF648A">
        <w:rPr>
          <w:rFonts w:hint="eastAsia"/>
          <w:sz w:val="20"/>
          <w:szCs w:val="22"/>
        </w:rPr>
        <w:t>indicated, the number of bits would be more.</w:t>
      </w:r>
      <w:r>
        <w:rPr>
          <w:rFonts w:hint="eastAsia"/>
          <w:sz w:val="20"/>
          <w:szCs w:val="22"/>
        </w:rPr>
        <w:t xml:space="preserve"> </w:t>
      </w:r>
    </w:p>
    <w:p w:rsidR="00574466" w:rsidRDefault="00191934">
      <w:pPr>
        <w:spacing w:before="120" w:after="120" w:line="22" w:lineRule="atLeast"/>
        <w:rPr>
          <w:sz w:val="20"/>
        </w:rPr>
      </w:pPr>
      <w:r>
        <w:rPr>
          <w:sz w:val="20"/>
          <w:szCs w:val="22"/>
        </w:rPr>
        <w:t>The</w:t>
      </w:r>
      <w:r w:rsidR="00142609">
        <w:rPr>
          <w:rFonts w:hint="eastAsia"/>
          <w:sz w:val="20"/>
          <w:szCs w:val="22"/>
        </w:rPr>
        <w:t xml:space="preserve"> TDD configuration information </w:t>
      </w:r>
      <w:r>
        <w:rPr>
          <w:sz w:val="20"/>
          <w:szCs w:val="22"/>
        </w:rPr>
        <w:t xml:space="preserve">can consume less number of bits if it is indicated </w:t>
      </w:r>
      <w:r>
        <w:rPr>
          <w:rFonts w:hint="eastAsia"/>
          <w:sz w:val="20"/>
          <w:szCs w:val="22"/>
        </w:rPr>
        <w:t>by means of index</w:t>
      </w:r>
      <w:r w:rsidR="00142609">
        <w:rPr>
          <w:rFonts w:hint="eastAsia"/>
          <w:sz w:val="20"/>
          <w:szCs w:val="22"/>
        </w:rPr>
        <w:t>. For example, all TDD configurations supported for sidelink are included in a table. Some parameter</w:t>
      </w:r>
      <w:r w:rsidR="00C31461">
        <w:rPr>
          <w:sz w:val="20"/>
          <w:szCs w:val="22"/>
        </w:rPr>
        <w:t>s</w:t>
      </w:r>
      <w:r w:rsidR="00142609">
        <w:rPr>
          <w:rFonts w:hint="eastAsia"/>
          <w:sz w:val="20"/>
          <w:szCs w:val="22"/>
        </w:rPr>
        <w:t>, such as configuration periods (including two periods) and UL slots or sidelink slots, are included in the contents of configuration. Ea</w:t>
      </w:r>
      <w:r>
        <w:rPr>
          <w:rFonts w:hint="eastAsia"/>
          <w:sz w:val="20"/>
          <w:szCs w:val="22"/>
        </w:rPr>
        <w:t>ch configuration is mapped to one table</w:t>
      </w:r>
      <w:r w:rsidR="00142609">
        <w:rPr>
          <w:rFonts w:hint="eastAsia"/>
          <w:sz w:val="20"/>
          <w:szCs w:val="22"/>
        </w:rPr>
        <w:t xml:space="preserve"> index. The detecting UE can determine the values of TDD configuration corresponding to the synchronization reference UE according to the indicated</w:t>
      </w:r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index</w:t>
      </w:r>
      <w:r w:rsidR="00142609">
        <w:rPr>
          <w:rFonts w:hint="eastAsia"/>
          <w:sz w:val="20"/>
          <w:szCs w:val="22"/>
        </w:rPr>
        <w:t xml:space="preserve">. The number of TDD configurations supported for NR V2X is </w:t>
      </w:r>
      <w:r w:rsidR="00C31461">
        <w:rPr>
          <w:sz w:val="20"/>
          <w:szCs w:val="22"/>
        </w:rPr>
        <w:t>based on</w:t>
      </w:r>
      <w:r w:rsidR="00142609">
        <w:rPr>
          <w:rFonts w:hint="eastAsia"/>
          <w:sz w:val="20"/>
          <w:szCs w:val="22"/>
        </w:rPr>
        <w:t xml:space="preserve"> the length of indication bit</w:t>
      </w:r>
      <w:r w:rsidR="00C31461">
        <w:rPr>
          <w:sz w:val="20"/>
          <w:szCs w:val="22"/>
        </w:rPr>
        <w:t>s</w:t>
      </w:r>
      <w:r w:rsidR="00142609">
        <w:rPr>
          <w:rFonts w:hint="eastAsia"/>
          <w:sz w:val="20"/>
          <w:szCs w:val="22"/>
        </w:rPr>
        <w:t xml:space="preserve">. For example, 8 bits can support </w:t>
      </w:r>
      <w:r w:rsidR="004B3973">
        <w:rPr>
          <w:sz w:val="20"/>
          <w:szCs w:val="22"/>
        </w:rPr>
        <w:t>256</w:t>
      </w:r>
      <w:r w:rsidR="00142609">
        <w:rPr>
          <w:rFonts w:hint="eastAsia"/>
          <w:sz w:val="20"/>
          <w:szCs w:val="22"/>
        </w:rPr>
        <w:t xml:space="preserve"> kinds of TDD configurations.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SL-BWP information</w:t>
      </w:r>
    </w:p>
    <w:p w:rsidR="00574466" w:rsidRDefault="00142609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>According to the high</w:t>
      </w:r>
      <w:r w:rsidR="00191934">
        <w:rPr>
          <w:sz w:val="20"/>
        </w:rPr>
        <w:t>er</w:t>
      </w:r>
      <w:r>
        <w:rPr>
          <w:rFonts w:hint="eastAsia"/>
          <w:sz w:val="20"/>
        </w:rPr>
        <w:t xml:space="preserve"> layer par</w:t>
      </w:r>
      <w:r w:rsidR="00071880">
        <w:rPr>
          <w:rFonts w:hint="eastAsia"/>
          <w:sz w:val="20"/>
        </w:rPr>
        <w:t>ameters for Rel-16 5G V2X [3], t</w:t>
      </w:r>
      <w:r>
        <w:rPr>
          <w:rFonts w:hint="eastAsia"/>
          <w:sz w:val="20"/>
        </w:rPr>
        <w:t xml:space="preserve">he maximum bandwidth supported for SL-BWP is 275 PRBs. If frequency domain location and bandwidth of SL-BWP </w:t>
      </w:r>
      <w:r w:rsidR="00191934">
        <w:rPr>
          <w:sz w:val="20"/>
        </w:rPr>
        <w:t xml:space="preserve">are indicated </w:t>
      </w:r>
      <w:r w:rsidR="00191934">
        <w:rPr>
          <w:rFonts w:hint="eastAsia"/>
          <w:sz w:val="20"/>
        </w:rPr>
        <w:t>separately</w:t>
      </w:r>
      <w:r>
        <w:rPr>
          <w:rFonts w:hint="eastAsia"/>
          <w:sz w:val="20"/>
        </w:rPr>
        <w:t>, 18 bits a</w:t>
      </w:r>
      <w:r w:rsidR="00191934">
        <w:rPr>
          <w:rFonts w:hint="eastAsia"/>
          <w:sz w:val="20"/>
        </w:rPr>
        <w:t xml:space="preserve">re needed. If </w:t>
      </w:r>
      <w:r>
        <w:rPr>
          <w:rFonts w:hint="eastAsia"/>
          <w:sz w:val="20"/>
        </w:rPr>
        <w:t xml:space="preserve">SL-BWP information (including frequency domain location and bandwidth) </w:t>
      </w:r>
      <w:r w:rsidR="00191934">
        <w:rPr>
          <w:sz w:val="20"/>
        </w:rPr>
        <w:t xml:space="preserve">is indicated </w:t>
      </w:r>
      <w:r>
        <w:rPr>
          <w:rFonts w:hint="eastAsia"/>
          <w:sz w:val="20"/>
        </w:rPr>
        <w:t>by means of RIV (resource i</w:t>
      </w:r>
      <w:r w:rsidR="00191934">
        <w:rPr>
          <w:rFonts w:hint="eastAsia"/>
          <w:sz w:val="20"/>
        </w:rPr>
        <w:t>ndicator value), only 16 bits are</w:t>
      </w:r>
      <w:r>
        <w:rPr>
          <w:rFonts w:hint="eastAsia"/>
          <w:sz w:val="20"/>
        </w:rPr>
        <w:t xml:space="preserve"> enough.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Slot index within a subframe</w:t>
      </w:r>
    </w:p>
    <w:p w:rsidR="00574466" w:rsidRDefault="00326089">
      <w:pPr>
        <w:spacing w:before="120" w:after="120" w:line="22" w:lineRule="atLeast"/>
        <w:rPr>
          <w:sz w:val="20"/>
        </w:rPr>
      </w:pPr>
      <w:r>
        <w:rPr>
          <w:sz w:val="20"/>
        </w:rPr>
        <w:t>T</w:t>
      </w:r>
      <w:r w:rsidR="00142609">
        <w:rPr>
          <w:rFonts w:hint="eastAsia"/>
          <w:sz w:val="20"/>
        </w:rPr>
        <w:t>he large</w:t>
      </w:r>
      <w:r>
        <w:rPr>
          <w:sz w:val="20"/>
        </w:rPr>
        <w:t>st</w:t>
      </w:r>
      <w:r w:rsidR="00142609">
        <w:rPr>
          <w:rFonts w:hint="eastAsia"/>
          <w:sz w:val="20"/>
        </w:rPr>
        <w:t xml:space="preserve"> SCS supported for S-SSB transmission in Rel-16 5G V2X is 120 kHz, </w:t>
      </w:r>
      <w:r>
        <w:rPr>
          <w:sz w:val="20"/>
        </w:rPr>
        <w:t xml:space="preserve">and </w:t>
      </w:r>
      <w:r w:rsidR="00142609">
        <w:rPr>
          <w:rFonts w:hint="eastAsia"/>
          <w:sz w:val="20"/>
        </w:rPr>
        <w:t>at most 8 slots are included within</w:t>
      </w:r>
      <w:r>
        <w:rPr>
          <w:rFonts w:hint="eastAsia"/>
          <w:sz w:val="20"/>
        </w:rPr>
        <w:t xml:space="preserve"> a subframe. So 3 bits is needed</w:t>
      </w:r>
      <w:r w:rsidR="00142609">
        <w:rPr>
          <w:rFonts w:hint="eastAsia"/>
          <w:sz w:val="20"/>
        </w:rPr>
        <w:t xml:space="preserve"> to indicate slot index within a subframe. By one-to-one mapping, the slot index within a subframe can be mapped to the index of the DM-RS sequence of PSBCH.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  <w:szCs w:val="22"/>
        </w:rPr>
        <w:t xml:space="preserve">Subframe </w:t>
      </w:r>
      <w:r>
        <w:rPr>
          <w:rFonts w:hint="eastAsia"/>
          <w:sz w:val="20"/>
        </w:rPr>
        <w:t>number</w:t>
      </w:r>
    </w:p>
    <w:p w:rsidR="00574466" w:rsidRDefault="00142609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>Subframe number within a frame need</w:t>
      </w:r>
      <w:r w:rsidR="00326089">
        <w:rPr>
          <w:sz w:val="20"/>
        </w:rPr>
        <w:t>s</w:t>
      </w:r>
      <w:r w:rsidR="00326089">
        <w:rPr>
          <w:rFonts w:hint="eastAsia"/>
          <w:sz w:val="20"/>
        </w:rPr>
        <w:t xml:space="preserve"> to be </w:t>
      </w:r>
      <w:r>
        <w:rPr>
          <w:rFonts w:hint="eastAsia"/>
          <w:sz w:val="20"/>
        </w:rPr>
        <w:t xml:space="preserve">indicated so that the S-SSB timing can be determined accurately. 4 bits are needed. </w:t>
      </w:r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Type of sync source</w:t>
      </w:r>
    </w:p>
    <w:p w:rsidR="00574466" w:rsidRDefault="00142609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From the perspective of </w:t>
      </w:r>
      <w:r w:rsidR="00326089">
        <w:rPr>
          <w:rFonts w:hint="eastAsia"/>
          <w:sz w:val="20"/>
        </w:rPr>
        <w:t>synchronization procedure, the t</w:t>
      </w:r>
      <w:r>
        <w:rPr>
          <w:rFonts w:hint="eastAsia"/>
          <w:sz w:val="20"/>
        </w:rPr>
        <w:t xml:space="preserve">ype of sync source, e.g., GNSS or gNB/eNB, does not impact the selection of reference UE or S-SSB transmission. In LTE V2X, the type of sync source is not indicated in PSBCH. Similarly, it is not necessary to indicate </w:t>
      </w:r>
      <w:r w:rsidR="00326089">
        <w:rPr>
          <w:rFonts w:hint="eastAsia"/>
          <w:sz w:val="20"/>
        </w:rPr>
        <w:t>type of sync source</w:t>
      </w:r>
      <w:r w:rsidR="00326089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in NR </w:t>
      </w:r>
      <w:r w:rsidR="00326089">
        <w:rPr>
          <w:sz w:val="20"/>
        </w:rPr>
        <w:t>PSBCH</w:t>
      </w:r>
      <w:r>
        <w:rPr>
          <w:rFonts w:hint="eastAsia"/>
          <w:sz w:val="20"/>
        </w:rPr>
        <w:t>.</w:t>
      </w:r>
    </w:p>
    <w:p w:rsidR="00574466" w:rsidRDefault="00142609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>In summary, the proposed conte</w:t>
      </w:r>
      <w:r w:rsidR="00326089">
        <w:rPr>
          <w:rFonts w:hint="eastAsia"/>
          <w:sz w:val="20"/>
        </w:rPr>
        <w:t>nts of PSBCH are listed in the T</w:t>
      </w:r>
      <w:r>
        <w:rPr>
          <w:rFonts w:hint="eastAsia"/>
          <w:sz w:val="20"/>
        </w:rPr>
        <w:t>able</w:t>
      </w:r>
      <w:r w:rsidR="00326089">
        <w:rPr>
          <w:sz w:val="20"/>
        </w:rPr>
        <w:t xml:space="preserve"> </w:t>
      </w:r>
      <w:r>
        <w:rPr>
          <w:rFonts w:hint="eastAsia"/>
          <w:sz w:val="20"/>
        </w:rPr>
        <w:t>1.</w:t>
      </w:r>
    </w:p>
    <w:p w:rsidR="00574466" w:rsidRDefault="00142609">
      <w:pPr>
        <w:spacing w:before="120" w:after="120" w:line="22" w:lineRule="atLeast"/>
        <w:jc w:val="center"/>
        <w:rPr>
          <w:sz w:val="20"/>
        </w:rPr>
      </w:pPr>
      <w:r>
        <w:rPr>
          <w:rFonts w:hint="eastAsia"/>
          <w:sz w:val="20"/>
        </w:rPr>
        <w:t xml:space="preserve">Table 1 </w:t>
      </w:r>
      <w:r w:rsidR="00326089">
        <w:rPr>
          <w:sz w:val="20"/>
        </w:rPr>
        <w:t>P</w:t>
      </w:r>
      <w:r>
        <w:rPr>
          <w:rFonts w:hint="eastAsia"/>
          <w:sz w:val="20"/>
        </w:rPr>
        <w:t>roposed contents of PSBCH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4218"/>
      </w:tblGrid>
      <w:tr w:rsidR="00574466">
        <w:trPr>
          <w:jc w:val="center"/>
        </w:trPr>
        <w:tc>
          <w:tcPr>
            <w:tcW w:w="2976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rFonts w:eastAsia="DengXian"/>
                <w:b/>
              </w:rPr>
            </w:pPr>
            <w:r>
              <w:rPr>
                <w:rFonts w:eastAsia="DengXian" w:hint="eastAsia"/>
                <w:b/>
              </w:rPr>
              <w:t>PSBCH contents</w:t>
            </w:r>
          </w:p>
        </w:tc>
        <w:tc>
          <w:tcPr>
            <w:tcW w:w="1560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b/>
              </w:rPr>
            </w:pPr>
            <w:r>
              <w:rPr>
                <w:b/>
              </w:rPr>
              <w:t>Number of bits</w:t>
            </w:r>
          </w:p>
        </w:tc>
        <w:tc>
          <w:tcPr>
            <w:tcW w:w="4218" w:type="dxa"/>
            <w:shd w:val="clear" w:color="auto" w:fill="8EAADB"/>
          </w:tcPr>
          <w:p w:rsidR="00574466" w:rsidRDefault="00142609">
            <w:pPr>
              <w:spacing w:before="120" w:after="120"/>
              <w:rPr>
                <w:rFonts w:eastAsia="DengXian"/>
                <w:b/>
              </w:rPr>
            </w:pPr>
            <w:r>
              <w:rPr>
                <w:rFonts w:eastAsia="DengXian" w:hint="eastAsia"/>
                <w:b/>
              </w:rPr>
              <w:t>Notes</w:t>
            </w: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  <w:highlight w:val="green"/>
              </w:rPr>
              <w:t>DFN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rFonts w:eastAsia="DengXian"/>
                <w:sz w:val="20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  <w:highlight w:val="green"/>
              </w:rPr>
            </w:pPr>
            <w:r>
              <w:rPr>
                <w:rFonts w:eastAsia="DengXian"/>
                <w:sz w:val="20"/>
                <w:highlight w:val="green"/>
              </w:rPr>
              <w:t>I</w:t>
            </w:r>
            <w:r>
              <w:rPr>
                <w:rFonts w:eastAsia="DengXian" w:hint="eastAsia"/>
                <w:sz w:val="20"/>
                <w:highlight w:val="green"/>
              </w:rPr>
              <w:t xml:space="preserve">ndication </w:t>
            </w:r>
            <w:r>
              <w:rPr>
                <w:rFonts w:eastAsia="DengXian"/>
                <w:sz w:val="20"/>
                <w:highlight w:val="green"/>
              </w:rPr>
              <w:t>of TDD configuration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[8]</w:t>
            </w:r>
          </w:p>
        </w:tc>
        <w:tc>
          <w:tcPr>
            <w:tcW w:w="4218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  <w:highlight w:val="green"/>
              </w:rPr>
            </w:pPr>
            <w:r>
              <w:rPr>
                <w:rFonts w:eastAsia="DengXian"/>
                <w:sz w:val="20"/>
                <w:highlight w:val="green"/>
              </w:rPr>
              <w:t>S</w:t>
            </w:r>
            <w:r>
              <w:rPr>
                <w:rFonts w:eastAsia="DengXian" w:hint="eastAsia"/>
                <w:sz w:val="20"/>
                <w:highlight w:val="green"/>
              </w:rPr>
              <w:t>ystem-wide information, e.g. TDD-UL-DL common configuration</w:t>
            </w:r>
            <w:r>
              <w:rPr>
                <w:rFonts w:eastAsia="DengXian"/>
                <w:sz w:val="20"/>
                <w:highlight w:val="green"/>
              </w:rPr>
              <w:t xml:space="preserve"> and/or </w:t>
            </w:r>
            <w:r>
              <w:rPr>
                <w:rFonts w:eastAsia="DengXian" w:hint="eastAsia"/>
                <w:sz w:val="20"/>
                <w:highlight w:val="green"/>
              </w:rPr>
              <w:t>potential SL slots</w:t>
            </w: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  <w:highlight w:val="darkGray"/>
              </w:rPr>
              <w:t>SL-BWP information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16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rFonts w:eastAsia="DengXian"/>
                <w:sz w:val="20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  <w:highlight w:val="green"/>
              </w:rPr>
            </w:pPr>
            <w:r>
              <w:rPr>
                <w:rFonts w:eastAsia="DengXian"/>
                <w:sz w:val="20"/>
                <w:highlight w:val="green"/>
              </w:rPr>
              <w:t>I</w:t>
            </w:r>
            <w:r>
              <w:rPr>
                <w:rFonts w:eastAsia="DengXian" w:hint="eastAsia"/>
                <w:sz w:val="20"/>
                <w:highlight w:val="green"/>
              </w:rPr>
              <w:t>n-coverage indicator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  <w:highlight w:val="green"/>
              </w:rPr>
            </w:pPr>
            <w:r>
              <w:rPr>
                <w:rFonts w:eastAsia="DengXian" w:hint="eastAsia"/>
                <w:sz w:val="20"/>
                <w:highlight w:val="green"/>
              </w:rPr>
              <w:t>1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rFonts w:eastAsia="DengXian"/>
                <w:sz w:val="20"/>
                <w:highlight w:val="green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  <w:highlight w:val="darkGray"/>
              </w:rPr>
              <w:lastRenderedPageBreak/>
              <w:t>Subframe number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rFonts w:eastAsia="DengXian"/>
                <w:sz w:val="20"/>
                <w:highlight w:val="darkGray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color w:val="000000"/>
                <w:sz w:val="20"/>
                <w:highlight w:val="darkGray"/>
              </w:rPr>
            </w:pPr>
            <w:r>
              <w:rPr>
                <w:rFonts w:eastAsia="DengXian"/>
                <w:color w:val="000000"/>
                <w:sz w:val="20"/>
                <w:highlight w:val="darkGray"/>
              </w:rPr>
              <w:t>S</w:t>
            </w:r>
            <w:r>
              <w:rPr>
                <w:rFonts w:eastAsia="DengXian" w:hint="eastAsia"/>
                <w:color w:val="000000"/>
                <w:sz w:val="20"/>
                <w:highlight w:val="darkGray"/>
              </w:rPr>
              <w:t>lot index within a subframe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0 (by PSBCH DMRS)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sz w:val="20"/>
                <w:highlight w:val="darkGray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DF648A">
            <w:pPr>
              <w:spacing w:before="120" w:after="120"/>
              <w:rPr>
                <w:rFonts w:eastAsia="DengXian"/>
                <w:sz w:val="20"/>
                <w:highlight w:val="lightGray"/>
              </w:rPr>
            </w:pPr>
            <w:r>
              <w:rPr>
                <w:rFonts w:hint="eastAsia"/>
                <w:sz w:val="20"/>
              </w:rPr>
              <w:t>Reserved</w:t>
            </w:r>
          </w:p>
        </w:tc>
        <w:tc>
          <w:tcPr>
            <w:tcW w:w="1560" w:type="dxa"/>
          </w:tcPr>
          <w:p w:rsidR="00574466" w:rsidRDefault="00DF648A">
            <w:pPr>
              <w:spacing w:before="120" w:after="120"/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t>X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sz w:val="20"/>
                <w:highlight w:val="lightGray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CRC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24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sz w:val="20"/>
              </w:rPr>
            </w:pPr>
          </w:p>
        </w:tc>
      </w:tr>
      <w:tr w:rsidR="00574466">
        <w:trPr>
          <w:jc w:val="center"/>
        </w:trPr>
        <w:tc>
          <w:tcPr>
            <w:tcW w:w="2976" w:type="dxa"/>
          </w:tcPr>
          <w:p w:rsidR="00574466" w:rsidRDefault="00142609">
            <w:pPr>
              <w:spacing w:before="120" w:after="120"/>
              <w:rPr>
                <w:rFonts w:eastAsia="DengXian"/>
                <w:sz w:val="20"/>
              </w:rPr>
            </w:pPr>
            <w:r>
              <w:rPr>
                <w:rFonts w:hint="eastAsia"/>
                <w:sz w:val="20"/>
              </w:rPr>
              <w:t>Total bit</w:t>
            </w:r>
            <w:r>
              <w:rPr>
                <w:rFonts w:eastAsia="DengXian" w:hint="eastAsia"/>
                <w:sz w:val="20"/>
              </w:rPr>
              <w:t>s</w:t>
            </w:r>
          </w:p>
        </w:tc>
        <w:tc>
          <w:tcPr>
            <w:tcW w:w="1560" w:type="dxa"/>
          </w:tcPr>
          <w:p w:rsidR="00574466" w:rsidRDefault="0014260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63</w:t>
            </w:r>
            <w:r w:rsidR="00DF648A">
              <w:rPr>
                <w:sz w:val="20"/>
              </w:rPr>
              <w:t>+X</w:t>
            </w:r>
          </w:p>
        </w:tc>
        <w:tc>
          <w:tcPr>
            <w:tcW w:w="4218" w:type="dxa"/>
          </w:tcPr>
          <w:p w:rsidR="00574466" w:rsidRDefault="00574466">
            <w:pPr>
              <w:spacing w:before="120" w:after="120"/>
              <w:rPr>
                <w:rFonts w:eastAsia="DengXian"/>
                <w:sz w:val="20"/>
              </w:rPr>
            </w:pPr>
          </w:p>
        </w:tc>
      </w:tr>
    </w:tbl>
    <w:p w:rsidR="00574466" w:rsidRDefault="00574466">
      <w:pPr>
        <w:spacing w:before="120" w:after="120" w:line="22" w:lineRule="atLeast"/>
        <w:rPr>
          <w:sz w:val="20"/>
        </w:rPr>
      </w:pPr>
    </w:p>
    <w:p w:rsidR="00574466" w:rsidRDefault="001B405D">
      <w:pPr>
        <w:pStyle w:val="YJ-Proposal"/>
        <w:adjustRightInd w:val="0"/>
        <w:spacing w:beforeLines="0" w:afterLines="0"/>
        <w:rPr>
          <w:rFonts w:eastAsia="SimSun"/>
          <w:szCs w:val="22"/>
          <w:lang w:val="en-US" w:eastAsia="zh-CN"/>
        </w:rPr>
      </w:pPr>
      <w:bookmarkStart w:id="32" w:name="_Toc29533"/>
      <w:bookmarkStart w:id="33" w:name="_Toc24161253"/>
      <w:r>
        <w:rPr>
          <w:rFonts w:eastAsia="SimSun" w:hint="eastAsia"/>
          <w:szCs w:val="22"/>
          <w:lang w:val="en-US" w:eastAsia="zh-CN"/>
        </w:rPr>
        <w:t>SL-BWP information and</w:t>
      </w:r>
      <w:r w:rsidR="00142609">
        <w:rPr>
          <w:rFonts w:eastAsia="SimSun" w:hint="eastAsia"/>
          <w:szCs w:val="22"/>
          <w:lang w:val="en-US" w:eastAsia="zh-CN"/>
        </w:rPr>
        <w:t xml:space="preserve"> subframe number are indicated in PSBCH. Slot index within a subframe is indicated implicitly by </w:t>
      </w:r>
      <w:r w:rsidR="00142609">
        <w:rPr>
          <w:rFonts w:hint="eastAsia"/>
          <w:lang w:val="en-US" w:eastAsia="zh-CN"/>
        </w:rPr>
        <w:t>one-to-one mapping to the index of the DM-RS sequence of PSBCH.</w:t>
      </w:r>
      <w:bookmarkEnd w:id="33"/>
    </w:p>
    <w:p w:rsidR="00574466" w:rsidRDefault="00142609">
      <w:pPr>
        <w:pStyle w:val="YJ-Proposal"/>
        <w:adjustRightInd w:val="0"/>
        <w:spacing w:beforeLines="0" w:afterLines="0"/>
      </w:pPr>
      <w:bookmarkStart w:id="34" w:name="_Toc24161254"/>
      <w:r>
        <w:rPr>
          <w:rFonts w:eastAsia="SimSun" w:hint="eastAsia"/>
          <w:szCs w:val="22"/>
          <w:lang w:val="en-US" w:eastAsia="zh-CN"/>
        </w:rPr>
        <w:t xml:space="preserve">In order to reduce payload size of PSBCH, TDD configuration </w:t>
      </w:r>
      <w:r w:rsidR="00326089">
        <w:rPr>
          <w:rFonts w:eastAsia="SimSun"/>
          <w:szCs w:val="22"/>
          <w:lang w:val="en-US" w:eastAsia="zh-CN"/>
        </w:rPr>
        <w:t>is</w:t>
      </w:r>
      <w:r w:rsidR="00326089">
        <w:rPr>
          <w:rFonts w:eastAsia="SimSun" w:hint="eastAsia"/>
          <w:szCs w:val="22"/>
          <w:lang w:val="en-US" w:eastAsia="zh-CN"/>
        </w:rPr>
        <w:t xml:space="preserve"> indicated by</w:t>
      </w:r>
      <w:r>
        <w:rPr>
          <w:rFonts w:eastAsia="SimSun" w:hint="eastAsia"/>
          <w:szCs w:val="22"/>
          <w:lang w:val="en-US" w:eastAsia="zh-CN"/>
        </w:rPr>
        <w:t xml:space="preserve"> index of </w:t>
      </w:r>
      <w:r w:rsidR="00326089">
        <w:rPr>
          <w:rFonts w:eastAsia="SimSun"/>
          <w:szCs w:val="22"/>
          <w:lang w:val="en-US" w:eastAsia="zh-CN"/>
        </w:rPr>
        <w:t xml:space="preserve">TDD </w:t>
      </w:r>
      <w:r>
        <w:rPr>
          <w:rFonts w:eastAsia="SimSun" w:hint="eastAsia"/>
          <w:szCs w:val="22"/>
          <w:lang w:val="en-US" w:eastAsia="zh-CN"/>
        </w:rPr>
        <w:t>configuration table.</w:t>
      </w:r>
      <w:bookmarkEnd w:id="32"/>
      <w:bookmarkEnd w:id="34"/>
    </w:p>
    <w:p w:rsidR="00574466" w:rsidRDefault="00142609">
      <w:pPr>
        <w:pStyle w:val="Heading2"/>
        <w:adjustRightInd w:val="0"/>
        <w:snapToGrid w:val="0"/>
        <w:spacing w:before="120" w:after="120" w:line="260" w:lineRule="auto"/>
        <w:ind w:left="991" w:right="210" w:hangingChars="354" w:hanging="991"/>
      </w:pPr>
      <w:bookmarkStart w:id="35" w:name="_Toc13277"/>
      <w:r>
        <w:rPr>
          <w:rFonts w:hint="eastAsia"/>
          <w:szCs w:val="22"/>
        </w:rPr>
        <w:t xml:space="preserve">Synchronization </w:t>
      </w:r>
      <w:r>
        <w:rPr>
          <w:rFonts w:hint="eastAsia"/>
        </w:rPr>
        <w:t>p</w:t>
      </w:r>
      <w:r>
        <w:rPr>
          <w:rFonts w:hint="eastAsia"/>
          <w:lang w:eastAsia="ko-KR"/>
        </w:rPr>
        <w:t>rocedure</w:t>
      </w:r>
      <w:bookmarkEnd w:id="35"/>
    </w:p>
    <w:p w:rsidR="00574466" w:rsidRDefault="00142609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RAN1 #98bis meeting </w:t>
      </w:r>
      <w:r w:rsidR="00326089">
        <w:rPr>
          <w:sz w:val="20"/>
          <w:szCs w:val="22"/>
        </w:rPr>
        <w:t xml:space="preserve">made a working assumption </w:t>
      </w:r>
      <w:r w:rsidR="00326089">
        <w:rPr>
          <w:rFonts w:hint="eastAsia"/>
          <w:sz w:val="20"/>
          <w:szCs w:val="22"/>
        </w:rPr>
        <w:t xml:space="preserve">to </w:t>
      </w:r>
      <w:r>
        <w:rPr>
          <w:rFonts w:hint="eastAsia"/>
          <w:sz w:val="20"/>
          <w:szCs w:val="22"/>
        </w:rPr>
        <w:t xml:space="preserve">reuse </w:t>
      </w:r>
      <w:r w:rsidR="00326089">
        <w:rPr>
          <w:sz w:val="20"/>
          <w:szCs w:val="22"/>
        </w:rPr>
        <w:t xml:space="preserve">in NR V2X </w:t>
      </w:r>
      <w:r>
        <w:rPr>
          <w:rFonts w:hint="eastAsia"/>
          <w:sz w:val="20"/>
          <w:szCs w:val="22"/>
        </w:rPr>
        <w:t xml:space="preserve">the </w:t>
      </w:r>
      <w:r w:rsidR="00326089">
        <w:rPr>
          <w:sz w:val="20"/>
          <w:szCs w:val="22"/>
        </w:rPr>
        <w:t xml:space="preserve">LTE V2X </w:t>
      </w:r>
      <w:r>
        <w:rPr>
          <w:rFonts w:hint="eastAsia"/>
          <w:sz w:val="20"/>
          <w:szCs w:val="22"/>
        </w:rPr>
        <w:t>procedur</w:t>
      </w:r>
      <w:r w:rsidR="00326089">
        <w:rPr>
          <w:rFonts w:hint="eastAsia"/>
          <w:sz w:val="20"/>
          <w:szCs w:val="22"/>
        </w:rPr>
        <w:t xml:space="preserve">e for </w:t>
      </w:r>
      <w:r w:rsidR="006C0A62">
        <w:rPr>
          <w:sz w:val="20"/>
          <w:szCs w:val="22"/>
        </w:rPr>
        <w:t>signaling</w:t>
      </w:r>
      <w:r w:rsidR="00326089">
        <w:rPr>
          <w:rFonts w:hint="eastAsia"/>
          <w:sz w:val="20"/>
          <w:szCs w:val="22"/>
        </w:rPr>
        <w:t>, identifying</w:t>
      </w:r>
      <w:r>
        <w:rPr>
          <w:rFonts w:hint="eastAsia"/>
          <w:sz w:val="20"/>
          <w:szCs w:val="22"/>
        </w:rPr>
        <w:t xml:space="preserve"> priority for one or more synchronization references and selecting the synchronization</w:t>
      </w:r>
      <w:r w:rsidR="00326089">
        <w:rPr>
          <w:sz w:val="20"/>
          <w:szCs w:val="22"/>
        </w:rPr>
        <w:t xml:space="preserve"> reference</w:t>
      </w:r>
      <w:r>
        <w:rPr>
          <w:rFonts w:hint="eastAsia"/>
          <w:sz w:val="20"/>
          <w:szCs w:val="22"/>
        </w:rPr>
        <w:t>.</w:t>
      </w:r>
    </w:p>
    <w:p w:rsidR="00574466" w:rsidRDefault="00326089">
      <w:pPr>
        <w:spacing w:before="120" w:after="120" w:line="22" w:lineRule="atLeast"/>
        <w:rPr>
          <w:sz w:val="20"/>
          <w:szCs w:val="22"/>
        </w:rPr>
      </w:pPr>
      <w:r>
        <w:rPr>
          <w:sz w:val="20"/>
          <w:szCs w:val="22"/>
        </w:rPr>
        <w:t>Given this is</w:t>
      </w:r>
      <w:r>
        <w:rPr>
          <w:rFonts w:hint="eastAsia"/>
          <w:sz w:val="20"/>
          <w:szCs w:val="22"/>
        </w:rPr>
        <w:t xml:space="preserve"> the last meeting left in WI, it is reasonable</w:t>
      </w:r>
      <w:r w:rsidR="00142609">
        <w:rPr>
          <w:rFonts w:hint="eastAsia"/>
          <w:sz w:val="20"/>
          <w:szCs w:val="22"/>
        </w:rPr>
        <w:t xml:space="preserve"> to confirm this working assumption</w:t>
      </w:r>
      <w:r>
        <w:rPr>
          <w:sz w:val="20"/>
          <w:szCs w:val="22"/>
        </w:rPr>
        <w:t xml:space="preserve"> and not to pursue other solutions</w:t>
      </w:r>
      <w:r w:rsidR="00142609">
        <w:rPr>
          <w:rFonts w:hint="eastAsia"/>
          <w:sz w:val="20"/>
          <w:szCs w:val="22"/>
        </w:rPr>
        <w:t>.</w:t>
      </w:r>
    </w:p>
    <w:p w:rsidR="00574466" w:rsidRDefault="00142609">
      <w:pPr>
        <w:pStyle w:val="YJ-Proposal"/>
        <w:adjustRightInd w:val="0"/>
        <w:spacing w:beforeLines="0" w:afterLines="0"/>
        <w:rPr>
          <w:rFonts w:eastAsia="SimSun"/>
          <w:szCs w:val="22"/>
          <w:lang w:val="en-US" w:eastAsia="zh-CN"/>
        </w:rPr>
      </w:pPr>
      <w:bookmarkStart w:id="36" w:name="_Toc17862"/>
      <w:bookmarkStart w:id="37" w:name="_Toc24161255"/>
      <w:r>
        <w:rPr>
          <w:rFonts w:eastAsia="SimSun"/>
          <w:szCs w:val="22"/>
          <w:lang w:val="en-US" w:eastAsia="zh-CN"/>
        </w:rPr>
        <w:t xml:space="preserve">Confirm the working assumption </w:t>
      </w:r>
      <w:r w:rsidR="002D56E8">
        <w:rPr>
          <w:rFonts w:eastAsia="SimSun"/>
          <w:szCs w:val="22"/>
          <w:lang w:val="en-US" w:eastAsia="zh-CN"/>
        </w:rPr>
        <w:t>of reusing</w:t>
      </w:r>
      <w:r>
        <w:rPr>
          <w:rFonts w:eastAsia="SimSun"/>
          <w:szCs w:val="22"/>
          <w:lang w:val="en-US" w:eastAsia="zh-CN"/>
        </w:rPr>
        <w:t xml:space="preserve"> </w:t>
      </w:r>
      <w:r w:rsidR="002D56E8">
        <w:rPr>
          <w:rFonts w:eastAsia="SimSun"/>
          <w:szCs w:val="22"/>
          <w:lang w:val="en-US" w:eastAsia="zh-CN"/>
        </w:rPr>
        <w:t xml:space="preserve">in NR V2X </w:t>
      </w:r>
      <w:r>
        <w:rPr>
          <w:rFonts w:eastAsia="SimSun"/>
          <w:szCs w:val="22"/>
          <w:lang w:val="en-US" w:eastAsia="zh-CN"/>
        </w:rPr>
        <w:t xml:space="preserve">the </w:t>
      </w:r>
      <w:r w:rsidR="002D56E8">
        <w:rPr>
          <w:rFonts w:eastAsia="SimSun"/>
          <w:szCs w:val="22"/>
          <w:lang w:val="en-US" w:eastAsia="zh-CN"/>
        </w:rPr>
        <w:t xml:space="preserve">LTE V2X </w:t>
      </w:r>
      <w:r>
        <w:rPr>
          <w:rFonts w:eastAsia="SimSun"/>
          <w:szCs w:val="22"/>
          <w:lang w:val="en-US" w:eastAsia="zh-CN"/>
        </w:rPr>
        <w:t>proced</w:t>
      </w:r>
      <w:r w:rsidR="002D56E8">
        <w:rPr>
          <w:rFonts w:eastAsia="SimSun"/>
          <w:szCs w:val="22"/>
          <w:lang w:val="en-US" w:eastAsia="zh-CN"/>
        </w:rPr>
        <w:t>ure for signalling, identifying</w:t>
      </w:r>
      <w:r>
        <w:rPr>
          <w:rFonts w:eastAsia="SimSun"/>
          <w:szCs w:val="22"/>
          <w:lang w:val="en-US" w:eastAsia="zh-CN"/>
        </w:rPr>
        <w:t xml:space="preserve"> priority for one or more synchronization references and selecting the synchronization </w:t>
      </w:r>
      <w:r w:rsidR="002D56E8">
        <w:rPr>
          <w:rFonts w:eastAsia="SimSun"/>
          <w:szCs w:val="22"/>
          <w:lang w:val="en-US" w:eastAsia="zh-CN"/>
        </w:rPr>
        <w:t>reference</w:t>
      </w:r>
      <w:r>
        <w:rPr>
          <w:rFonts w:eastAsia="SimSun"/>
          <w:szCs w:val="22"/>
          <w:lang w:val="en-US" w:eastAsia="zh-CN"/>
        </w:rPr>
        <w:t>.</w:t>
      </w:r>
      <w:bookmarkEnd w:id="36"/>
      <w:bookmarkEnd w:id="37"/>
    </w:p>
    <w:p w:rsidR="00574466" w:rsidRDefault="00142609">
      <w:pPr>
        <w:numPr>
          <w:ilvl w:val="0"/>
          <w:numId w:val="10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SL SSID</w:t>
      </w:r>
    </w:p>
    <w:p w:rsidR="00574466" w:rsidRDefault="0014260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 to the agreements of last meeting, </w:t>
      </w:r>
      <w:r>
        <w:rPr>
          <w:rFonts w:eastAsia="DengXian" w:hint="eastAsia"/>
          <w:bCs/>
          <w:iCs/>
          <w:sz w:val="20"/>
        </w:rPr>
        <w:t xml:space="preserve">672 </w:t>
      </w:r>
      <w:r>
        <w:rPr>
          <w:rFonts w:eastAsia="DengXian"/>
          <w:bCs/>
          <w:iCs/>
          <w:sz w:val="20"/>
        </w:rPr>
        <w:t>SL</w:t>
      </w:r>
      <w:r>
        <w:rPr>
          <w:rFonts w:eastAsia="DengXian" w:hint="eastAsia"/>
          <w:bCs/>
          <w:iCs/>
          <w:sz w:val="20"/>
        </w:rPr>
        <w:t>-</w:t>
      </w:r>
      <w:r>
        <w:rPr>
          <w:rFonts w:eastAsia="DengXian"/>
          <w:bCs/>
          <w:iCs/>
          <w:sz w:val="20"/>
        </w:rPr>
        <w:t xml:space="preserve">SSIDs </w:t>
      </w:r>
      <w:r>
        <w:rPr>
          <w:rFonts w:eastAsia="DengXian" w:hint="eastAsia"/>
          <w:bCs/>
          <w:iCs/>
          <w:sz w:val="20"/>
        </w:rPr>
        <w:t>are</w:t>
      </w:r>
      <w:r>
        <w:rPr>
          <w:rFonts w:eastAsia="DengXian"/>
          <w:bCs/>
          <w:iCs/>
          <w:sz w:val="20"/>
        </w:rPr>
        <w:t xml:space="preserve"> divided into 2 </w:t>
      </w:r>
      <w:r>
        <w:rPr>
          <w:bCs/>
          <w:iCs/>
          <w:sz w:val="20"/>
        </w:rPr>
        <w:t>sets to indicate different synchronization priorities</w:t>
      </w:r>
      <w:r>
        <w:rPr>
          <w:rFonts w:hint="eastAsia"/>
          <w:bCs/>
          <w:iCs/>
          <w:sz w:val="20"/>
        </w:rPr>
        <w:t xml:space="preserve"> </w:t>
      </w:r>
      <w:r>
        <w:rPr>
          <w:rFonts w:eastAsia="DengXian"/>
          <w:bCs/>
          <w:iCs/>
          <w:sz w:val="20"/>
        </w:rPr>
        <w:t>following a similar approach as in LTE-V2X</w:t>
      </w:r>
      <w:r>
        <w:rPr>
          <w:rFonts w:eastAsia="DengXian" w:hint="eastAsia"/>
          <w:bCs/>
          <w:iCs/>
          <w:sz w:val="20"/>
        </w:rPr>
        <w:t xml:space="preserve">. In detail, </w:t>
      </w:r>
      <w:r w:rsidR="00326089">
        <w:rPr>
          <w:rFonts w:eastAsia="DengXian"/>
          <w:bCs/>
          <w:iCs/>
          <w:sz w:val="20"/>
        </w:rPr>
        <w:t>the</w:t>
      </w:r>
      <w:r w:rsidR="0098623A">
        <w:rPr>
          <w:rFonts w:eastAsia="DengXian" w:hint="eastAsia"/>
          <w:bCs/>
          <w:iCs/>
          <w:sz w:val="20"/>
        </w:rPr>
        <w:t xml:space="preserve"> SSID selection, in-</w:t>
      </w:r>
      <w:r>
        <w:rPr>
          <w:rFonts w:eastAsia="DengXian" w:hint="eastAsia"/>
          <w:bCs/>
          <w:iCs/>
          <w:sz w:val="20"/>
        </w:rPr>
        <w:t>coverage indication set and sync resource</w:t>
      </w:r>
      <w:r w:rsidR="00326089">
        <w:rPr>
          <w:rFonts w:eastAsia="DengXian" w:hint="eastAsia"/>
          <w:bCs/>
          <w:iCs/>
          <w:sz w:val="20"/>
        </w:rPr>
        <w:t xml:space="preserve"> selection in NR V2X can be further analyzed</w:t>
      </w:r>
      <w:r>
        <w:rPr>
          <w:rFonts w:hint="eastAsia"/>
          <w:sz w:val="20"/>
        </w:rPr>
        <w:t xml:space="preserve"> as </w:t>
      </w:r>
      <w:r w:rsidR="00326089">
        <w:rPr>
          <w:sz w:val="20"/>
        </w:rPr>
        <w:t>T</w:t>
      </w:r>
      <w:r w:rsidR="00326089">
        <w:rPr>
          <w:rFonts w:hint="eastAsia"/>
          <w:sz w:val="20"/>
        </w:rPr>
        <w:t>able 2</w:t>
      </w:r>
      <w:r>
        <w:rPr>
          <w:rFonts w:hint="eastAsia"/>
          <w:sz w:val="20"/>
        </w:rPr>
        <w:t>.</w:t>
      </w:r>
    </w:p>
    <w:p w:rsidR="00574466" w:rsidRDefault="00142609"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 xml:space="preserve">Table 2 UE </w:t>
      </w:r>
      <w:r w:rsidR="00071880">
        <w:rPr>
          <w:sz w:val="20"/>
        </w:rPr>
        <w:t>behaviors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3244"/>
        <w:gridCol w:w="1932"/>
        <w:gridCol w:w="1631"/>
      </w:tblGrid>
      <w:tr w:rsidR="00574466" w:rsidTr="00326089">
        <w:trPr>
          <w:jc w:val="center"/>
        </w:trPr>
        <w:tc>
          <w:tcPr>
            <w:tcW w:w="0" w:type="auto"/>
            <w:shd w:val="clear" w:color="auto" w:fill="D7D7D7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Sync priority level</w:t>
            </w:r>
          </w:p>
        </w:tc>
        <w:tc>
          <w:tcPr>
            <w:tcW w:w="0" w:type="auto"/>
            <w:shd w:val="clear" w:color="auto" w:fill="D7D7D7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SSID</w:t>
            </w:r>
          </w:p>
        </w:tc>
        <w:tc>
          <w:tcPr>
            <w:tcW w:w="0" w:type="auto"/>
            <w:shd w:val="clear" w:color="auto" w:fill="D7D7D7"/>
          </w:tcPr>
          <w:p w:rsidR="00574466" w:rsidRDefault="0098623A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In-</w:t>
            </w:r>
            <w:r w:rsidR="00142609">
              <w:rPr>
                <w:rFonts w:cs="Times New Roman" w:hint="eastAsia"/>
                <w:sz w:val="20"/>
              </w:rPr>
              <w:t>coverage indicator</w:t>
            </w:r>
          </w:p>
        </w:tc>
        <w:tc>
          <w:tcPr>
            <w:tcW w:w="0" w:type="auto"/>
            <w:shd w:val="clear" w:color="auto" w:fill="D7D7D7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Sync resource</w:t>
            </w: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P0/P0</w:t>
            </w:r>
            <w:r>
              <w:rPr>
                <w:rFonts w:cs="Times New Roman"/>
                <w:sz w:val="20"/>
              </w:rPr>
              <w:t>’</w:t>
            </w:r>
            <w:r>
              <w:rPr>
                <w:rFonts w:cs="Times New Roman" w:hint="eastAsia"/>
                <w:sz w:val="20"/>
              </w:rPr>
              <w:t>/P3/P3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574466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0" w:type="auto"/>
          </w:tcPr>
          <w:p w:rsidR="00574466" w:rsidRDefault="00574466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0" w:type="auto"/>
          </w:tcPr>
          <w:p w:rsidR="00574466" w:rsidRDefault="00574466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P1/P4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0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1 or 0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Offset1 or offset3</w:t>
            </w: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P2/P5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0 or 337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 xml:space="preserve">0 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Offset1 or offset2</w:t>
            </w: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P4/ P1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1~335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1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Offset1</w:t>
            </w: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P5/ P2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1~335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0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Offset2</w:t>
            </w:r>
          </w:p>
        </w:tc>
      </w:tr>
      <w:tr w:rsidR="00574466" w:rsidTr="00326089">
        <w:trPr>
          <w:jc w:val="center"/>
        </w:trPr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P6/P6</w:t>
            </w:r>
            <w:r>
              <w:rPr>
                <w:rFonts w:cs="Times New Roman"/>
                <w:sz w:val="20"/>
              </w:rPr>
              <w:t>’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338~671</w:t>
            </w:r>
          </w:p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（</w:t>
            </w:r>
            <w:r>
              <w:rPr>
                <w:rFonts w:cs="Times New Roman" w:hint="eastAsia"/>
                <w:sz w:val="20"/>
              </w:rPr>
              <w:t xml:space="preserve">336 </w:t>
            </w:r>
            <w:r w:rsidR="00DF648A">
              <w:rPr>
                <w:rFonts w:cs="Times New Roman"/>
                <w:sz w:val="20"/>
              </w:rPr>
              <w:t xml:space="preserve">&amp; 337 </w:t>
            </w:r>
            <w:r>
              <w:rPr>
                <w:rFonts w:cs="Times New Roman" w:hint="eastAsia"/>
                <w:sz w:val="20"/>
              </w:rPr>
              <w:t>only for GNSS-based</w:t>
            </w:r>
            <w:r>
              <w:rPr>
                <w:rFonts w:cs="Times New Roman" w:hint="eastAsia"/>
                <w:sz w:val="20"/>
              </w:rPr>
              <w:t>）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0</w:t>
            </w:r>
          </w:p>
        </w:tc>
        <w:tc>
          <w:tcPr>
            <w:tcW w:w="0" w:type="auto"/>
          </w:tcPr>
          <w:p w:rsidR="00574466" w:rsidRDefault="00142609">
            <w:pPr>
              <w:pStyle w:val="YJ--"/>
              <w:spacing w:before="120" w:after="120" w:line="240" w:lineRule="auto"/>
              <w:ind w:firstLineChars="0" w:firstLine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 w:hint="eastAsia"/>
                <w:sz w:val="20"/>
              </w:rPr>
              <w:t>Offset1 or offset2</w:t>
            </w:r>
          </w:p>
        </w:tc>
      </w:tr>
    </w:tbl>
    <w:p w:rsidR="00574466" w:rsidRDefault="00574466">
      <w:pPr>
        <w:spacing w:before="120" w:after="120" w:line="22" w:lineRule="atLeast"/>
        <w:rPr>
          <w:sz w:val="20"/>
          <w:szCs w:val="22"/>
        </w:rPr>
      </w:pPr>
    </w:p>
    <w:p w:rsidR="00574466" w:rsidRPr="00071880" w:rsidRDefault="00071880">
      <w:pPr>
        <w:pStyle w:val="YJ-Observation"/>
        <w:spacing w:before="120" w:after="120"/>
        <w:rPr>
          <w:szCs w:val="22"/>
          <w:lang w:val="en-US" w:eastAsia="zh-CN"/>
        </w:rPr>
      </w:pPr>
      <w:bookmarkStart w:id="38" w:name="_Toc24161246"/>
      <w:r w:rsidRPr="00071880">
        <w:rPr>
          <w:rFonts w:eastAsia="DengXian"/>
          <w:lang w:val="en-US" w:eastAsia="zh-CN"/>
        </w:rPr>
        <w:t xml:space="preserve">Based on RAN1 #98bis agreement, </w:t>
      </w:r>
      <w:r w:rsidR="0098623A" w:rsidRPr="00071880">
        <w:rPr>
          <w:rFonts w:eastAsia="DengXian" w:hint="eastAsia"/>
          <w:lang w:val="en-US" w:eastAsia="zh-CN"/>
        </w:rPr>
        <w:t>SSID selection, in-</w:t>
      </w:r>
      <w:r w:rsidR="00142609" w:rsidRPr="00071880">
        <w:rPr>
          <w:rFonts w:eastAsia="DengXian" w:hint="eastAsia"/>
          <w:lang w:val="en-US" w:eastAsia="zh-CN"/>
        </w:rPr>
        <w:t xml:space="preserve">coverage indication set and sync resource selection </w:t>
      </w:r>
      <w:r w:rsidR="00142609" w:rsidRPr="00071880">
        <w:rPr>
          <w:rFonts w:hint="eastAsia"/>
          <w:szCs w:val="22"/>
          <w:lang w:val="en-US" w:eastAsia="zh-CN"/>
        </w:rPr>
        <w:t>correspon</w:t>
      </w:r>
      <w:r w:rsidRPr="00071880">
        <w:rPr>
          <w:rFonts w:hint="eastAsia"/>
          <w:szCs w:val="22"/>
          <w:lang w:val="en-US" w:eastAsia="zh-CN"/>
        </w:rPr>
        <w:t>ding to sync priority are further clarified in T</w:t>
      </w:r>
      <w:r w:rsidR="00142609" w:rsidRPr="00071880">
        <w:rPr>
          <w:rFonts w:hint="eastAsia"/>
          <w:szCs w:val="22"/>
          <w:lang w:val="en-US" w:eastAsia="zh-CN"/>
        </w:rPr>
        <w:t>able 2.</w:t>
      </w:r>
      <w:bookmarkEnd w:id="38"/>
      <w:r w:rsidR="00142609" w:rsidRPr="00071880">
        <w:rPr>
          <w:rFonts w:hint="eastAsia"/>
          <w:szCs w:val="22"/>
          <w:lang w:val="en-US" w:eastAsia="zh-CN"/>
        </w:rPr>
        <w:t xml:space="preserve"> </w:t>
      </w:r>
    </w:p>
    <w:p w:rsidR="00574466" w:rsidRDefault="00574466">
      <w:pPr>
        <w:snapToGrid w:val="0"/>
        <w:spacing w:before="120" w:after="120" w:line="260" w:lineRule="auto"/>
        <w:rPr>
          <w:sz w:val="20"/>
        </w:rPr>
      </w:pPr>
    </w:p>
    <w:p w:rsidR="00574466" w:rsidRDefault="00142609">
      <w:pPr>
        <w:pStyle w:val="Heading1"/>
        <w:spacing w:before="120" w:after="120"/>
        <w:ind w:left="0"/>
        <w:rPr>
          <w:rFonts w:eastAsia="SimSun"/>
        </w:rPr>
      </w:pPr>
      <w:bookmarkStart w:id="39" w:name="_Toc27598"/>
      <w:r>
        <w:rPr>
          <w:rFonts w:eastAsia="SimSun" w:hint="eastAsia"/>
        </w:rPr>
        <w:t>Conclusion</w:t>
      </w:r>
      <w:bookmarkEnd w:id="39"/>
    </w:p>
    <w:p w:rsidR="00574466" w:rsidRDefault="00142609">
      <w:pPr>
        <w:spacing w:beforeLines="0" w:before="120" w:afterLines="0" w:after="120"/>
        <w:jc w:val="left"/>
        <w:rPr>
          <w:sz w:val="20"/>
        </w:rPr>
      </w:pPr>
      <w:r>
        <w:rPr>
          <w:sz w:val="20"/>
        </w:rPr>
        <w:t>This contribution focuses on synchronization mechanism for NR V2X. It provides the following proposals</w:t>
      </w:r>
      <w:r>
        <w:rPr>
          <w:rFonts w:hint="eastAsia"/>
          <w:sz w:val="20"/>
        </w:rPr>
        <w:t xml:space="preserve"> and observations</w:t>
      </w:r>
      <w:r>
        <w:rPr>
          <w:sz w:val="20"/>
        </w:rPr>
        <w:t>:</w:t>
      </w:r>
    </w:p>
    <w:p w:rsidR="00326089" w:rsidRDefault="00142609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>
        <w:fldChar w:fldCharType="begin"/>
      </w:r>
      <w:r>
        <w:instrText>TOC \n  \t "YJ-Observation,1,sub-observation,2" \h</w:instrText>
      </w:r>
      <w:r>
        <w:fldChar w:fldCharType="separate"/>
      </w:r>
      <w:hyperlink w:anchor="_Toc24161245" w:history="1">
        <w:r w:rsidR="00326089" w:rsidRPr="009E0F3F">
          <w:rPr>
            <w:rStyle w:val="Hyperlink"/>
            <w:rFonts w:eastAsia="SimSun"/>
            <w:noProof/>
          </w:rPr>
          <w:t>Observation 1:</w:t>
        </w:r>
        <w:r w:rsidR="00326089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326089" w:rsidRPr="009E0F3F">
          <w:rPr>
            <w:rStyle w:val="Hyperlink"/>
            <w:noProof/>
          </w:rPr>
          <w:t>For PSBCH DM-RS, case 1 (every PSBCH symbol has DM-RS) shows better performance than case 2 (every other PSBCH symbol has DM-RS).</w:t>
        </w:r>
      </w:hyperlink>
    </w:p>
    <w:p w:rsidR="00326089" w:rsidRDefault="00326089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46" w:history="1">
        <w:r w:rsidRPr="009E0F3F">
          <w:rPr>
            <w:rStyle w:val="Hyperlink"/>
            <w:rFonts w:eastAsia="SimSun"/>
            <w:noProof/>
          </w:rPr>
          <w:t>Observation 2: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9E0F3F">
          <w:rPr>
            <w:rStyle w:val="Hyperlink"/>
            <w:rFonts w:eastAsia="DengXian"/>
            <w:noProof/>
          </w:rPr>
          <w:t xml:space="preserve">Based on RAN1 #98bis agreement, SSID selection, in-coverage indication set and sync resource selection </w:t>
        </w:r>
        <w:r w:rsidRPr="009E0F3F">
          <w:rPr>
            <w:rStyle w:val="Hyperlink"/>
            <w:noProof/>
          </w:rPr>
          <w:t>corresponding to sync priority are further clarified in Table 2.</w:t>
        </w:r>
      </w:hyperlink>
    </w:p>
    <w:p w:rsidR="00574466" w:rsidRDefault="00142609">
      <w:pPr>
        <w:pStyle w:val="TOC1"/>
        <w:tabs>
          <w:tab w:val="right" w:leader="dot" w:pos="9660"/>
        </w:tabs>
        <w:spacing w:before="120" w:after="120"/>
      </w:pPr>
      <w:r>
        <w:fldChar w:fldCharType="end"/>
      </w:r>
    </w:p>
    <w:p w:rsidR="00326089" w:rsidRDefault="0014260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>
        <w:fldChar w:fldCharType="begin"/>
      </w:r>
      <w:r>
        <w:instrText>TOC \n  \t "YJ-Proposal,1" \h</w:instrText>
      </w:r>
      <w:r>
        <w:fldChar w:fldCharType="separate"/>
      </w:r>
      <w:hyperlink w:anchor="_Toc24161249" w:history="1">
        <w:r w:rsidR="00326089" w:rsidRPr="00100E81">
          <w:rPr>
            <w:rStyle w:val="Hyperlink"/>
            <w:rFonts w:eastAsia="SimSun"/>
            <w:noProof/>
          </w:rPr>
          <w:t>Proposal 1:</w:t>
        </w:r>
        <w:r w:rsidR="00326089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326089" w:rsidRPr="00100E81">
          <w:rPr>
            <w:rStyle w:val="Hyperlink"/>
            <w:noProof/>
          </w:rPr>
          <w:t>Confirm the working assumption that same sequence is used for two symbols of S-PSS and same sequence is used for two symbols of S-SSS.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0" w:history="1">
        <w:r w:rsidRPr="00100E81">
          <w:rPr>
            <w:rStyle w:val="Hyperlink"/>
            <w:rFonts w:eastAsia="SimSun"/>
            <w:noProof/>
          </w:rPr>
          <w:t>Proposal 2: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noProof/>
          </w:rPr>
          <w:t>The timing of S-SSB is indicated based on SFN/DFN, subframe number and S-SSB slot index within a subframe.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1" w:history="1">
        <w:r w:rsidRPr="00100E81">
          <w:rPr>
            <w:rStyle w:val="Hyperlink"/>
            <w:rFonts w:eastAsia="SimSun"/>
            <w:noProof/>
          </w:rPr>
          <w:t>Proposal 3: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noProof/>
          </w:rPr>
          <w:t>SL-SSID instead of cell ID is used to determine the frequency domain shift of DM-RS RE in all DMRS symbols of PSBCH.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2" w:history="1">
        <w:r w:rsidRPr="00100E81">
          <w:rPr>
            <w:rStyle w:val="Hyperlink"/>
            <w:rFonts w:eastAsia="SimSun"/>
            <w:noProof/>
          </w:rPr>
          <w:t>Proposal 4: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noProof/>
          </w:rPr>
          <w:t>Every PSBCH symbol has DM-RS.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3" w:history="1">
        <w:r w:rsidRPr="00100E81">
          <w:rPr>
            <w:rStyle w:val="Hyperlink"/>
            <w:rFonts w:eastAsia="SimSun"/>
            <w:noProof/>
          </w:rPr>
          <w:t>Proposal 5: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rFonts w:eastAsia="SimSun"/>
            <w:noProof/>
          </w:rPr>
          <w:t xml:space="preserve">SL-BWP information and subframe number are indicated in PSBCH. Slot index within a subframe is indicated implicitly by </w:t>
        </w:r>
        <w:r w:rsidRPr="00100E81">
          <w:rPr>
            <w:rStyle w:val="Hyperlink"/>
            <w:noProof/>
          </w:rPr>
          <w:t>one-to-one mapping to the index of the DM-RS sequence of PSBCH.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4" w:history="1">
        <w:r w:rsidRPr="00100E81">
          <w:rPr>
            <w:rStyle w:val="Hyperlink"/>
            <w:rFonts w:eastAsia="SimSun"/>
            <w:noProof/>
          </w:rPr>
          <w:t>Proposal 6: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rFonts w:eastAsia="SimSun"/>
            <w:noProof/>
          </w:rPr>
          <w:t>In order to reduce payload size of PSBCH, TDD configuration is indicated by index of TDD configuration table.</w:t>
        </w:r>
      </w:hyperlink>
    </w:p>
    <w:p w:rsidR="00326089" w:rsidRDefault="00326089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4161255" w:history="1">
        <w:r w:rsidRPr="00100E81">
          <w:rPr>
            <w:rStyle w:val="Hyperlink"/>
            <w:rFonts w:eastAsia="SimSun"/>
            <w:noProof/>
          </w:rPr>
          <w:t>Proposal 7: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100E81">
          <w:rPr>
            <w:rStyle w:val="Hyperlink"/>
            <w:rFonts w:eastAsia="SimSun"/>
            <w:noProof/>
          </w:rPr>
          <w:t>Confirm the working assumption of reusing in NR V2X the LTE V2X procedure for signalling, identifying priority for one or more synchronization references and selecting the synchronization reference.</w:t>
        </w:r>
      </w:hyperlink>
    </w:p>
    <w:p w:rsidR="00574466" w:rsidRDefault="00142609">
      <w:pPr>
        <w:spacing w:before="120" w:after="120"/>
      </w:pPr>
      <w:r>
        <w:rPr>
          <w:sz w:val="20"/>
        </w:rPr>
        <w:fldChar w:fldCharType="end"/>
      </w:r>
    </w:p>
    <w:p w:rsidR="00574466" w:rsidRDefault="00142609">
      <w:pPr>
        <w:pStyle w:val="Heading1"/>
        <w:spacing w:before="120" w:after="120"/>
        <w:ind w:left="0"/>
        <w:rPr>
          <w:rFonts w:eastAsia="SimSun"/>
        </w:rPr>
      </w:pPr>
      <w:bookmarkStart w:id="40" w:name="_Toc24935"/>
      <w:r>
        <w:rPr>
          <w:rFonts w:eastAsia="SimSun" w:hint="eastAsia"/>
        </w:rPr>
        <w:t>Reference</w:t>
      </w:r>
      <w:r>
        <w:rPr>
          <w:rFonts w:eastAsia="SimSun"/>
        </w:rPr>
        <w:t>s</w:t>
      </w:r>
      <w:bookmarkEnd w:id="40"/>
    </w:p>
    <w:p w:rsidR="00574466" w:rsidRDefault="00142609">
      <w:pPr>
        <w:pStyle w:val="References"/>
        <w:spacing w:before="120" w:after="120"/>
        <w:rPr>
          <w:sz w:val="20"/>
          <w:szCs w:val="22"/>
        </w:rPr>
      </w:pPr>
      <w:bookmarkStart w:id="41" w:name="_Ref17466"/>
      <w:r>
        <w:rPr>
          <w:sz w:val="20"/>
          <w:szCs w:val="22"/>
        </w:rPr>
        <w:t xml:space="preserve">RAN1 Chairman’s Notes, 3GPP TSG RAN WG1 Meeting #97, </w:t>
      </w:r>
      <w:r>
        <w:rPr>
          <w:sz w:val="20"/>
          <w:szCs w:val="22"/>
          <w:lang w:eastAsia="ja-JP"/>
        </w:rPr>
        <w:t>Reno, USA, 13th – 17th, May 2019</w:t>
      </w:r>
      <w:r>
        <w:rPr>
          <w:sz w:val="20"/>
          <w:szCs w:val="22"/>
        </w:rPr>
        <w:t>.</w:t>
      </w:r>
    </w:p>
    <w:p w:rsidR="00574466" w:rsidRDefault="00142609">
      <w:pPr>
        <w:pStyle w:val="References"/>
        <w:spacing w:before="120" w:after="120"/>
        <w:rPr>
          <w:sz w:val="20"/>
          <w:szCs w:val="22"/>
        </w:rPr>
      </w:pPr>
      <w:r>
        <w:rPr>
          <w:sz w:val="20"/>
          <w:szCs w:val="22"/>
        </w:rPr>
        <w:t xml:space="preserve">RAN1 Chairman’s Notes, 3GPP TSG RAN WG1 Meeting #98bis, </w:t>
      </w:r>
      <w:r>
        <w:rPr>
          <w:sz w:val="20"/>
          <w:szCs w:val="22"/>
          <w:lang w:eastAsia="ja-JP"/>
        </w:rPr>
        <w:t>Chongqing, China, October 14th – 20th, 2019</w:t>
      </w:r>
      <w:r>
        <w:rPr>
          <w:sz w:val="20"/>
          <w:szCs w:val="22"/>
        </w:rPr>
        <w:t>.</w:t>
      </w:r>
    </w:p>
    <w:p w:rsidR="00574466" w:rsidRDefault="00142609">
      <w:pPr>
        <w:pStyle w:val="References"/>
        <w:spacing w:before="120" w:after="120"/>
        <w:rPr>
          <w:sz w:val="20"/>
          <w:szCs w:val="22"/>
        </w:rPr>
      </w:pPr>
      <w:r>
        <w:rPr>
          <w:sz w:val="20"/>
          <w:szCs w:val="22"/>
        </w:rPr>
        <w:t xml:space="preserve">R1-1909923, </w:t>
      </w:r>
      <w:r>
        <w:rPr>
          <w:sz w:val="20"/>
          <w:szCs w:val="22"/>
          <w:lang w:eastAsia="ko-KR"/>
        </w:rPr>
        <w:t>High layer parameters in WI 5G V2X with NR sidelink</w:t>
      </w:r>
      <w:r>
        <w:rPr>
          <w:sz w:val="20"/>
          <w:szCs w:val="22"/>
        </w:rPr>
        <w:t>.</w:t>
      </w:r>
    </w:p>
    <w:bookmarkEnd w:id="41"/>
    <w:p w:rsidR="00574466" w:rsidRDefault="00574466">
      <w:pPr>
        <w:spacing w:before="120" w:after="120"/>
        <w:jc w:val="left"/>
      </w:pPr>
    </w:p>
    <w:p w:rsidR="00574466" w:rsidRDefault="00142609">
      <w:pPr>
        <w:pStyle w:val="Heading1"/>
        <w:adjustRightInd w:val="0"/>
        <w:snapToGrid w:val="0"/>
        <w:spacing w:before="120" w:after="120" w:line="260" w:lineRule="auto"/>
        <w:ind w:left="0"/>
        <w:rPr>
          <w:rFonts w:eastAsia="SimSun"/>
        </w:rPr>
      </w:pPr>
      <w:bookmarkStart w:id="42" w:name="_Toc26173"/>
      <w:r>
        <w:rPr>
          <w:rFonts w:eastAsia="SimSun" w:hint="eastAsia"/>
          <w:szCs w:val="22"/>
        </w:rPr>
        <w:t>Appendix</w:t>
      </w:r>
      <w:r>
        <w:rPr>
          <w:rFonts w:hint="eastAsia"/>
        </w:rPr>
        <w:t xml:space="preserve">: </w:t>
      </w:r>
      <w:r>
        <w:rPr>
          <w:rFonts w:hint="eastAsia"/>
          <w:szCs w:val="22"/>
        </w:rPr>
        <w:t xml:space="preserve">Simulation </w:t>
      </w:r>
      <w:r>
        <w:rPr>
          <w:rFonts w:hint="eastAsia"/>
        </w:rPr>
        <w:t>assumptions</w:t>
      </w:r>
      <w:bookmarkEnd w:id="42"/>
    </w:p>
    <w:p w:rsidR="00574466" w:rsidRDefault="00142609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Simulation assumptions for PSBCH evaluation</w:t>
      </w:r>
    </w:p>
    <w:tbl>
      <w:tblPr>
        <w:tblStyle w:val="TableGrid"/>
        <w:tblW w:w="7452" w:type="dxa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4532"/>
      </w:tblGrid>
      <w:tr w:rsidR="00574466">
        <w:trPr>
          <w:jc w:val="center"/>
        </w:trPr>
        <w:tc>
          <w:tcPr>
            <w:tcW w:w="2920" w:type="dxa"/>
            <w:shd w:val="clear" w:color="auto" w:fill="D8D8D8" w:themeFill="background1" w:themeFillShade="D8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</w:rPr>
              <w:t>Parameter</w:t>
            </w:r>
          </w:p>
        </w:tc>
        <w:tc>
          <w:tcPr>
            <w:tcW w:w="4532" w:type="dxa"/>
            <w:shd w:val="clear" w:color="auto" w:fill="D8D8D8" w:themeFill="background1" w:themeFillShade="D8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</w:rPr>
              <w:t>Value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lastRenderedPageBreak/>
              <w:t>Carrier frequency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6 GHz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Bandwidth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11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RB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Channel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urban-NLOS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MCS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QPSK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Channel coding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Polar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Subcarrier Spacing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15k</w:t>
            </w:r>
            <w:r>
              <w:rPr>
                <w:sz w:val="20"/>
              </w:rPr>
              <w:t>Hz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Antenna configuration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sz w:val="20"/>
              </w:rPr>
              <w:t>2T</w:t>
            </w:r>
            <w:r>
              <w:rPr>
                <w:rFonts w:hint="eastAsia"/>
                <w:sz w:val="20"/>
              </w:rPr>
              <w:t>*2</w:t>
            </w:r>
            <w:r>
              <w:rPr>
                <w:sz w:val="20"/>
              </w:rPr>
              <w:t>R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t xml:space="preserve">UE (relative) </w:t>
            </w:r>
            <w:r>
              <w:rPr>
                <w:rFonts w:hint="eastAsia"/>
                <w:sz w:val="20"/>
              </w:rPr>
              <w:t>speed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</w:pPr>
            <w:r>
              <w:rPr>
                <w:rFonts w:hint="eastAsia"/>
                <w:sz w:val="20"/>
              </w:rPr>
              <w:t>240/500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km/h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SNR range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&gt; -6 dB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Number of symbols for PSBCH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PSBCH payload size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56 (including 24bits CRC)</w:t>
            </w:r>
          </w:p>
        </w:tc>
      </w:tr>
      <w:tr w:rsidR="00574466">
        <w:trPr>
          <w:jc w:val="center"/>
        </w:trPr>
        <w:tc>
          <w:tcPr>
            <w:tcW w:w="2920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Receiver handling of first symbol used for AGC</w:t>
            </w:r>
          </w:p>
        </w:tc>
        <w:tc>
          <w:tcPr>
            <w:tcW w:w="4532" w:type="dxa"/>
            <w:vAlign w:val="center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In the 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symbol, DMRS REs are not used for channel estimation and data REs are punctured</w:t>
            </w:r>
          </w:p>
        </w:tc>
      </w:tr>
      <w:tr w:rsidR="00574466">
        <w:trPr>
          <w:jc w:val="center"/>
        </w:trPr>
        <w:tc>
          <w:tcPr>
            <w:tcW w:w="2920" w:type="dxa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t>Channel estimation</w:t>
            </w:r>
          </w:p>
        </w:tc>
        <w:tc>
          <w:tcPr>
            <w:tcW w:w="4532" w:type="dxa"/>
          </w:tcPr>
          <w:p w:rsidR="00574466" w:rsidRDefault="00142609">
            <w:pPr>
              <w:spacing w:before="120" w:after="120"/>
              <w:jc w:val="center"/>
              <w:rPr>
                <w:sz w:val="20"/>
              </w:rPr>
            </w:pPr>
            <w:r>
              <w:t>MMSE</w:t>
            </w:r>
          </w:p>
        </w:tc>
      </w:tr>
    </w:tbl>
    <w:p w:rsidR="00574466" w:rsidRDefault="00574466">
      <w:pPr>
        <w:pStyle w:val="References"/>
        <w:numPr>
          <w:ilvl w:val="0"/>
          <w:numId w:val="0"/>
        </w:numPr>
        <w:spacing w:before="120" w:after="120"/>
        <w:rPr>
          <w:sz w:val="20"/>
          <w:szCs w:val="20"/>
        </w:rPr>
      </w:pPr>
    </w:p>
    <w:p w:rsidR="00574466" w:rsidRDefault="00574466">
      <w:pPr>
        <w:pStyle w:val="References"/>
        <w:numPr>
          <w:ilvl w:val="0"/>
          <w:numId w:val="0"/>
        </w:numPr>
        <w:spacing w:before="120" w:after="120"/>
        <w:rPr>
          <w:sz w:val="20"/>
          <w:szCs w:val="20"/>
        </w:rPr>
      </w:pPr>
    </w:p>
    <w:sectPr w:rsidR="005744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93B" w:rsidRDefault="004C093B">
      <w:pPr>
        <w:spacing w:before="120" w:after="120" w:line="240" w:lineRule="auto"/>
      </w:pPr>
      <w:r>
        <w:separator/>
      </w:r>
    </w:p>
  </w:endnote>
  <w:endnote w:type="continuationSeparator" w:id="0">
    <w:p w:rsidR="004C093B" w:rsidRDefault="004C093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SimSun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466" w:rsidRDefault="00574466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2688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623A" w:rsidRDefault="0098623A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A6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74466" w:rsidRDefault="00574466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466" w:rsidRDefault="0057446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93B" w:rsidRDefault="004C093B">
      <w:pPr>
        <w:spacing w:before="120" w:after="120" w:line="240" w:lineRule="auto"/>
      </w:pPr>
      <w:r>
        <w:separator/>
      </w:r>
    </w:p>
  </w:footnote>
  <w:footnote w:type="continuationSeparator" w:id="0">
    <w:p w:rsidR="004C093B" w:rsidRDefault="004C093B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466" w:rsidRDefault="00574466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466" w:rsidRDefault="00574466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466" w:rsidRDefault="0057446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5C08C5"/>
    <w:multiLevelType w:val="singleLevel"/>
    <w:tmpl w:val="BB5C08C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1F331E74"/>
    <w:multiLevelType w:val="multilevel"/>
    <w:tmpl w:val="1F331E74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6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649625BE"/>
    <w:multiLevelType w:val="multilevel"/>
    <w:tmpl w:val="649625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104773"/>
    <w:multiLevelType w:val="multilevel"/>
    <w:tmpl w:val="7C1047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179E"/>
    <w:rsid w:val="00071880"/>
    <w:rsid w:val="00077402"/>
    <w:rsid w:val="00091DCF"/>
    <w:rsid w:val="00093326"/>
    <w:rsid w:val="000F711C"/>
    <w:rsid w:val="00116DC3"/>
    <w:rsid w:val="00125E5A"/>
    <w:rsid w:val="00142609"/>
    <w:rsid w:val="00165EC6"/>
    <w:rsid w:val="00172A27"/>
    <w:rsid w:val="00180430"/>
    <w:rsid w:val="00191934"/>
    <w:rsid w:val="001A60FC"/>
    <w:rsid w:val="001B405D"/>
    <w:rsid w:val="001C748A"/>
    <w:rsid w:val="001E2AF1"/>
    <w:rsid w:val="001E60B9"/>
    <w:rsid w:val="00222DA2"/>
    <w:rsid w:val="00234F99"/>
    <w:rsid w:val="00245398"/>
    <w:rsid w:val="00246CC4"/>
    <w:rsid w:val="00273B1C"/>
    <w:rsid w:val="002A2546"/>
    <w:rsid w:val="002D56E8"/>
    <w:rsid w:val="00326089"/>
    <w:rsid w:val="00361A45"/>
    <w:rsid w:val="00370278"/>
    <w:rsid w:val="0037339F"/>
    <w:rsid w:val="00382B10"/>
    <w:rsid w:val="00385556"/>
    <w:rsid w:val="003A2D17"/>
    <w:rsid w:val="00443667"/>
    <w:rsid w:val="0044742C"/>
    <w:rsid w:val="00450CF8"/>
    <w:rsid w:val="0046113B"/>
    <w:rsid w:val="00472DFE"/>
    <w:rsid w:val="004B3973"/>
    <w:rsid w:val="004C03F4"/>
    <w:rsid w:val="004C093B"/>
    <w:rsid w:val="004E4A03"/>
    <w:rsid w:val="00544690"/>
    <w:rsid w:val="00574466"/>
    <w:rsid w:val="005B065E"/>
    <w:rsid w:val="005C2DA2"/>
    <w:rsid w:val="005D28C0"/>
    <w:rsid w:val="005F5803"/>
    <w:rsid w:val="0060158E"/>
    <w:rsid w:val="00660851"/>
    <w:rsid w:val="0066469D"/>
    <w:rsid w:val="006C0A62"/>
    <w:rsid w:val="006C0EEC"/>
    <w:rsid w:val="006C3DF7"/>
    <w:rsid w:val="0072357D"/>
    <w:rsid w:val="00732F21"/>
    <w:rsid w:val="0075459B"/>
    <w:rsid w:val="00844A3A"/>
    <w:rsid w:val="0088127E"/>
    <w:rsid w:val="008D0E09"/>
    <w:rsid w:val="008D1C5E"/>
    <w:rsid w:val="00906310"/>
    <w:rsid w:val="009118C7"/>
    <w:rsid w:val="009173D4"/>
    <w:rsid w:val="00952A6B"/>
    <w:rsid w:val="0096044C"/>
    <w:rsid w:val="009714A0"/>
    <w:rsid w:val="0098623A"/>
    <w:rsid w:val="009C2193"/>
    <w:rsid w:val="009F20F3"/>
    <w:rsid w:val="00A16E29"/>
    <w:rsid w:val="00A229A5"/>
    <w:rsid w:val="00A400ED"/>
    <w:rsid w:val="00AB0321"/>
    <w:rsid w:val="00AD2E2D"/>
    <w:rsid w:val="00AE0C98"/>
    <w:rsid w:val="00B06B46"/>
    <w:rsid w:val="00B241C1"/>
    <w:rsid w:val="00B32F4B"/>
    <w:rsid w:val="00B3398E"/>
    <w:rsid w:val="00BA480A"/>
    <w:rsid w:val="00BD0615"/>
    <w:rsid w:val="00BD3654"/>
    <w:rsid w:val="00C0741A"/>
    <w:rsid w:val="00C17446"/>
    <w:rsid w:val="00C24AC0"/>
    <w:rsid w:val="00C31461"/>
    <w:rsid w:val="00C3542E"/>
    <w:rsid w:val="00C6073B"/>
    <w:rsid w:val="00C638B9"/>
    <w:rsid w:val="00C83EFD"/>
    <w:rsid w:val="00C86292"/>
    <w:rsid w:val="00C91343"/>
    <w:rsid w:val="00CA33EA"/>
    <w:rsid w:val="00CD343B"/>
    <w:rsid w:val="00D21995"/>
    <w:rsid w:val="00D41695"/>
    <w:rsid w:val="00D52FA7"/>
    <w:rsid w:val="00D654D7"/>
    <w:rsid w:val="00DB1BD0"/>
    <w:rsid w:val="00DB7EF0"/>
    <w:rsid w:val="00DF648A"/>
    <w:rsid w:val="00E01A3A"/>
    <w:rsid w:val="00E211EC"/>
    <w:rsid w:val="00E307EA"/>
    <w:rsid w:val="00E33BB9"/>
    <w:rsid w:val="00EA43F5"/>
    <w:rsid w:val="00F15EF5"/>
    <w:rsid w:val="00F17EF0"/>
    <w:rsid w:val="00F51AC7"/>
    <w:rsid w:val="00F6644B"/>
    <w:rsid w:val="00F912BF"/>
    <w:rsid w:val="01063FDD"/>
    <w:rsid w:val="015C6038"/>
    <w:rsid w:val="01764F01"/>
    <w:rsid w:val="018D4531"/>
    <w:rsid w:val="01A43026"/>
    <w:rsid w:val="020759FB"/>
    <w:rsid w:val="02415AE9"/>
    <w:rsid w:val="024D6B6A"/>
    <w:rsid w:val="029B04E7"/>
    <w:rsid w:val="02A11299"/>
    <w:rsid w:val="02E14AFA"/>
    <w:rsid w:val="02E52B54"/>
    <w:rsid w:val="02F4589D"/>
    <w:rsid w:val="03073BDC"/>
    <w:rsid w:val="03223454"/>
    <w:rsid w:val="032D1211"/>
    <w:rsid w:val="03377B59"/>
    <w:rsid w:val="035D6208"/>
    <w:rsid w:val="037E4DDF"/>
    <w:rsid w:val="03E639BF"/>
    <w:rsid w:val="040C57BE"/>
    <w:rsid w:val="041142FD"/>
    <w:rsid w:val="042601E7"/>
    <w:rsid w:val="04AB078C"/>
    <w:rsid w:val="04F86D2E"/>
    <w:rsid w:val="052226B2"/>
    <w:rsid w:val="0555228E"/>
    <w:rsid w:val="05741531"/>
    <w:rsid w:val="05B964D1"/>
    <w:rsid w:val="05E078B3"/>
    <w:rsid w:val="06777738"/>
    <w:rsid w:val="06A40B3F"/>
    <w:rsid w:val="07357A9B"/>
    <w:rsid w:val="077D0583"/>
    <w:rsid w:val="07CD7FFF"/>
    <w:rsid w:val="082A352F"/>
    <w:rsid w:val="084F392E"/>
    <w:rsid w:val="08B62E37"/>
    <w:rsid w:val="08D33208"/>
    <w:rsid w:val="08EF3D63"/>
    <w:rsid w:val="09043349"/>
    <w:rsid w:val="09C4249A"/>
    <w:rsid w:val="09F53074"/>
    <w:rsid w:val="09F67CD5"/>
    <w:rsid w:val="0A0E0BDB"/>
    <w:rsid w:val="0AAF1B8D"/>
    <w:rsid w:val="0ABD3D52"/>
    <w:rsid w:val="0B3B577B"/>
    <w:rsid w:val="0B6635C8"/>
    <w:rsid w:val="0B9C1F5A"/>
    <w:rsid w:val="0B9E71DF"/>
    <w:rsid w:val="0C2B533F"/>
    <w:rsid w:val="0C5A38D6"/>
    <w:rsid w:val="0C5D5DE5"/>
    <w:rsid w:val="0C7E17A4"/>
    <w:rsid w:val="0C8F00CD"/>
    <w:rsid w:val="0CCC78E8"/>
    <w:rsid w:val="0DA90499"/>
    <w:rsid w:val="0DC67FA3"/>
    <w:rsid w:val="0DF92462"/>
    <w:rsid w:val="0E231066"/>
    <w:rsid w:val="0E473123"/>
    <w:rsid w:val="0E971A22"/>
    <w:rsid w:val="0EFD0F8D"/>
    <w:rsid w:val="0F3578A8"/>
    <w:rsid w:val="0FF333C0"/>
    <w:rsid w:val="0FFC3132"/>
    <w:rsid w:val="10A50104"/>
    <w:rsid w:val="117002AB"/>
    <w:rsid w:val="119D7849"/>
    <w:rsid w:val="12033130"/>
    <w:rsid w:val="12E6166C"/>
    <w:rsid w:val="1310523B"/>
    <w:rsid w:val="13CC3BA1"/>
    <w:rsid w:val="1433415E"/>
    <w:rsid w:val="14AE1554"/>
    <w:rsid w:val="14C124FA"/>
    <w:rsid w:val="14D256F6"/>
    <w:rsid w:val="14DA3DA1"/>
    <w:rsid w:val="14FA6E68"/>
    <w:rsid w:val="150024E9"/>
    <w:rsid w:val="152F3570"/>
    <w:rsid w:val="166A7B47"/>
    <w:rsid w:val="16894F77"/>
    <w:rsid w:val="16CE07A9"/>
    <w:rsid w:val="16CE1703"/>
    <w:rsid w:val="16DD6FFB"/>
    <w:rsid w:val="17155857"/>
    <w:rsid w:val="171E78AE"/>
    <w:rsid w:val="17271431"/>
    <w:rsid w:val="17443796"/>
    <w:rsid w:val="175D29C0"/>
    <w:rsid w:val="177C6133"/>
    <w:rsid w:val="17A16DFC"/>
    <w:rsid w:val="17AE1406"/>
    <w:rsid w:val="17B72C51"/>
    <w:rsid w:val="18A137D8"/>
    <w:rsid w:val="18B149CC"/>
    <w:rsid w:val="18BA084E"/>
    <w:rsid w:val="18E62420"/>
    <w:rsid w:val="19010C43"/>
    <w:rsid w:val="1904618E"/>
    <w:rsid w:val="19084C73"/>
    <w:rsid w:val="193C5FF4"/>
    <w:rsid w:val="194A7896"/>
    <w:rsid w:val="198F7226"/>
    <w:rsid w:val="19D64A51"/>
    <w:rsid w:val="19DC2840"/>
    <w:rsid w:val="1A054259"/>
    <w:rsid w:val="1A356C40"/>
    <w:rsid w:val="1A377D04"/>
    <w:rsid w:val="1AA825EB"/>
    <w:rsid w:val="1AB3244C"/>
    <w:rsid w:val="1B0E0A1F"/>
    <w:rsid w:val="1B603185"/>
    <w:rsid w:val="1B775836"/>
    <w:rsid w:val="1B793A87"/>
    <w:rsid w:val="1B7F6005"/>
    <w:rsid w:val="1BDB2488"/>
    <w:rsid w:val="1C132CB9"/>
    <w:rsid w:val="1C1A2675"/>
    <w:rsid w:val="1C291D96"/>
    <w:rsid w:val="1C5E5732"/>
    <w:rsid w:val="1C7617A7"/>
    <w:rsid w:val="1C91287C"/>
    <w:rsid w:val="1CB97BFC"/>
    <w:rsid w:val="1CCA67E6"/>
    <w:rsid w:val="1CCC26CA"/>
    <w:rsid w:val="1CDA6A63"/>
    <w:rsid w:val="1D101758"/>
    <w:rsid w:val="1D863449"/>
    <w:rsid w:val="1DA365A4"/>
    <w:rsid w:val="1DF065A1"/>
    <w:rsid w:val="1E007BBC"/>
    <w:rsid w:val="1E0B75E8"/>
    <w:rsid w:val="1E46348D"/>
    <w:rsid w:val="1E9D6342"/>
    <w:rsid w:val="1EA814AF"/>
    <w:rsid w:val="1ED110C6"/>
    <w:rsid w:val="1F0F058B"/>
    <w:rsid w:val="1F1E5EEA"/>
    <w:rsid w:val="1F2E5DDD"/>
    <w:rsid w:val="1F532A67"/>
    <w:rsid w:val="1F7C5CC3"/>
    <w:rsid w:val="1FEE078F"/>
    <w:rsid w:val="204538CE"/>
    <w:rsid w:val="204E6676"/>
    <w:rsid w:val="20602098"/>
    <w:rsid w:val="20923ACE"/>
    <w:rsid w:val="20DA631D"/>
    <w:rsid w:val="21160039"/>
    <w:rsid w:val="2195668B"/>
    <w:rsid w:val="21DD222A"/>
    <w:rsid w:val="21E63E9A"/>
    <w:rsid w:val="221E4EC5"/>
    <w:rsid w:val="223A29C2"/>
    <w:rsid w:val="22543C52"/>
    <w:rsid w:val="2255666C"/>
    <w:rsid w:val="22F716B8"/>
    <w:rsid w:val="2373571E"/>
    <w:rsid w:val="237D3BD4"/>
    <w:rsid w:val="23E849DD"/>
    <w:rsid w:val="244D6507"/>
    <w:rsid w:val="245C52F8"/>
    <w:rsid w:val="2463385E"/>
    <w:rsid w:val="24D873C4"/>
    <w:rsid w:val="25134332"/>
    <w:rsid w:val="257E508F"/>
    <w:rsid w:val="25956921"/>
    <w:rsid w:val="26030309"/>
    <w:rsid w:val="268176AE"/>
    <w:rsid w:val="26AE2453"/>
    <w:rsid w:val="26FD3AEE"/>
    <w:rsid w:val="27AB7429"/>
    <w:rsid w:val="27C34900"/>
    <w:rsid w:val="27FA128B"/>
    <w:rsid w:val="28EC3EC5"/>
    <w:rsid w:val="29102650"/>
    <w:rsid w:val="29227F57"/>
    <w:rsid w:val="29A41CE3"/>
    <w:rsid w:val="29CB22D5"/>
    <w:rsid w:val="29FA7F26"/>
    <w:rsid w:val="2A47162C"/>
    <w:rsid w:val="2AB42E3C"/>
    <w:rsid w:val="2ADA5CFE"/>
    <w:rsid w:val="2B0D407D"/>
    <w:rsid w:val="2B275C17"/>
    <w:rsid w:val="2BD2348F"/>
    <w:rsid w:val="2C0E3721"/>
    <w:rsid w:val="2C1D3CED"/>
    <w:rsid w:val="2C26109C"/>
    <w:rsid w:val="2C3D0C43"/>
    <w:rsid w:val="2C3E3B61"/>
    <w:rsid w:val="2C8B40BC"/>
    <w:rsid w:val="2CC61114"/>
    <w:rsid w:val="2CE3500F"/>
    <w:rsid w:val="2D433C3E"/>
    <w:rsid w:val="2D5C3201"/>
    <w:rsid w:val="2D754D1D"/>
    <w:rsid w:val="2D850DBE"/>
    <w:rsid w:val="2DE20F01"/>
    <w:rsid w:val="2E33766F"/>
    <w:rsid w:val="2E771B60"/>
    <w:rsid w:val="2EB14BB2"/>
    <w:rsid w:val="2EEC4A59"/>
    <w:rsid w:val="2F1251F2"/>
    <w:rsid w:val="308409F0"/>
    <w:rsid w:val="30962F3E"/>
    <w:rsid w:val="30C63409"/>
    <w:rsid w:val="30D17E68"/>
    <w:rsid w:val="30FF2795"/>
    <w:rsid w:val="31144698"/>
    <w:rsid w:val="313007BC"/>
    <w:rsid w:val="313519AB"/>
    <w:rsid w:val="313D28A4"/>
    <w:rsid w:val="31622D68"/>
    <w:rsid w:val="321466FD"/>
    <w:rsid w:val="32252B7E"/>
    <w:rsid w:val="329A6ACE"/>
    <w:rsid w:val="329D0559"/>
    <w:rsid w:val="32BB0763"/>
    <w:rsid w:val="3372439A"/>
    <w:rsid w:val="339F16C2"/>
    <w:rsid w:val="33AC67FD"/>
    <w:rsid w:val="33D8516B"/>
    <w:rsid w:val="3420722C"/>
    <w:rsid w:val="34795064"/>
    <w:rsid w:val="34E556F8"/>
    <w:rsid w:val="35594D20"/>
    <w:rsid w:val="358E17B4"/>
    <w:rsid w:val="35A34A87"/>
    <w:rsid w:val="35FB0F6B"/>
    <w:rsid w:val="36051A62"/>
    <w:rsid w:val="360B1D73"/>
    <w:rsid w:val="361F3323"/>
    <w:rsid w:val="362354AF"/>
    <w:rsid w:val="3664198B"/>
    <w:rsid w:val="36D07D7F"/>
    <w:rsid w:val="36E93760"/>
    <w:rsid w:val="37134BC8"/>
    <w:rsid w:val="37420318"/>
    <w:rsid w:val="376E2A30"/>
    <w:rsid w:val="3784394E"/>
    <w:rsid w:val="37D52CA8"/>
    <w:rsid w:val="37F043A1"/>
    <w:rsid w:val="37FD19C6"/>
    <w:rsid w:val="380F7F2F"/>
    <w:rsid w:val="3837696A"/>
    <w:rsid w:val="385F32ED"/>
    <w:rsid w:val="38A81BE0"/>
    <w:rsid w:val="38AE3BB0"/>
    <w:rsid w:val="38E0677B"/>
    <w:rsid w:val="394678F5"/>
    <w:rsid w:val="394C026E"/>
    <w:rsid w:val="39B259B2"/>
    <w:rsid w:val="39B53480"/>
    <w:rsid w:val="3A7968D0"/>
    <w:rsid w:val="3A964549"/>
    <w:rsid w:val="3ACB5746"/>
    <w:rsid w:val="3ADB1346"/>
    <w:rsid w:val="3B2B7E19"/>
    <w:rsid w:val="3B9E7799"/>
    <w:rsid w:val="3BB20883"/>
    <w:rsid w:val="3C1B16A4"/>
    <w:rsid w:val="3C1D0647"/>
    <w:rsid w:val="3C224A84"/>
    <w:rsid w:val="3C4E0025"/>
    <w:rsid w:val="3CB03B80"/>
    <w:rsid w:val="3D1555D2"/>
    <w:rsid w:val="3DBF0BD0"/>
    <w:rsid w:val="3DDE6561"/>
    <w:rsid w:val="3E1F37F8"/>
    <w:rsid w:val="3E441C7D"/>
    <w:rsid w:val="3E4D6E80"/>
    <w:rsid w:val="3E9D5FB0"/>
    <w:rsid w:val="3EEF3559"/>
    <w:rsid w:val="3F1B7BAD"/>
    <w:rsid w:val="3F215060"/>
    <w:rsid w:val="3F89142B"/>
    <w:rsid w:val="3FC956FF"/>
    <w:rsid w:val="3FE3763E"/>
    <w:rsid w:val="3FEB2746"/>
    <w:rsid w:val="3FFC23AF"/>
    <w:rsid w:val="4074775B"/>
    <w:rsid w:val="40A36A71"/>
    <w:rsid w:val="41120F0A"/>
    <w:rsid w:val="41244F55"/>
    <w:rsid w:val="412802D0"/>
    <w:rsid w:val="41F466FD"/>
    <w:rsid w:val="42336E48"/>
    <w:rsid w:val="4256162F"/>
    <w:rsid w:val="42641377"/>
    <w:rsid w:val="428A0E8D"/>
    <w:rsid w:val="42A67A24"/>
    <w:rsid w:val="42DF6814"/>
    <w:rsid w:val="440D5045"/>
    <w:rsid w:val="44434797"/>
    <w:rsid w:val="449962D9"/>
    <w:rsid w:val="449E5E2B"/>
    <w:rsid w:val="455B41A5"/>
    <w:rsid w:val="456B52EA"/>
    <w:rsid w:val="45BE6191"/>
    <w:rsid w:val="460C5979"/>
    <w:rsid w:val="47030E3D"/>
    <w:rsid w:val="471065AF"/>
    <w:rsid w:val="473A4090"/>
    <w:rsid w:val="47A91B04"/>
    <w:rsid w:val="47C01792"/>
    <w:rsid w:val="4808150F"/>
    <w:rsid w:val="481412F8"/>
    <w:rsid w:val="481B3443"/>
    <w:rsid w:val="48AD5112"/>
    <w:rsid w:val="48C92056"/>
    <w:rsid w:val="496647EC"/>
    <w:rsid w:val="49696118"/>
    <w:rsid w:val="49F6791A"/>
    <w:rsid w:val="4A2C76F3"/>
    <w:rsid w:val="4A4346CA"/>
    <w:rsid w:val="4A6D023A"/>
    <w:rsid w:val="4AC31003"/>
    <w:rsid w:val="4ADF6352"/>
    <w:rsid w:val="4AE93159"/>
    <w:rsid w:val="4AF06E0F"/>
    <w:rsid w:val="4B3C12AA"/>
    <w:rsid w:val="4BA01152"/>
    <w:rsid w:val="4BAA2369"/>
    <w:rsid w:val="4BB87376"/>
    <w:rsid w:val="4BD0339A"/>
    <w:rsid w:val="4BF80F0E"/>
    <w:rsid w:val="4C2C27D9"/>
    <w:rsid w:val="4C5525F5"/>
    <w:rsid w:val="4CAD25C4"/>
    <w:rsid w:val="4CCF724B"/>
    <w:rsid w:val="4D462159"/>
    <w:rsid w:val="4D6340DD"/>
    <w:rsid w:val="4D8413C7"/>
    <w:rsid w:val="4DA77D83"/>
    <w:rsid w:val="4DC605B6"/>
    <w:rsid w:val="4DC81D5C"/>
    <w:rsid w:val="4DEC0985"/>
    <w:rsid w:val="4E27683A"/>
    <w:rsid w:val="4E654861"/>
    <w:rsid w:val="4ECA3CB6"/>
    <w:rsid w:val="4EDF458C"/>
    <w:rsid w:val="4F253E1B"/>
    <w:rsid w:val="4F2765B1"/>
    <w:rsid w:val="4F285975"/>
    <w:rsid w:val="4FDC1E85"/>
    <w:rsid w:val="503E49C1"/>
    <w:rsid w:val="50543861"/>
    <w:rsid w:val="5056504A"/>
    <w:rsid w:val="50592036"/>
    <w:rsid w:val="5085246A"/>
    <w:rsid w:val="508B01F1"/>
    <w:rsid w:val="50C32445"/>
    <w:rsid w:val="51867298"/>
    <w:rsid w:val="51887A43"/>
    <w:rsid w:val="51956477"/>
    <w:rsid w:val="51973DA6"/>
    <w:rsid w:val="51990DEF"/>
    <w:rsid w:val="51B3649F"/>
    <w:rsid w:val="51FD5E9E"/>
    <w:rsid w:val="5215705B"/>
    <w:rsid w:val="5272433B"/>
    <w:rsid w:val="52C05C84"/>
    <w:rsid w:val="52C902D5"/>
    <w:rsid w:val="52E04D27"/>
    <w:rsid w:val="531B1662"/>
    <w:rsid w:val="53DB3477"/>
    <w:rsid w:val="541E2108"/>
    <w:rsid w:val="54550F03"/>
    <w:rsid w:val="54DF5C95"/>
    <w:rsid w:val="55152F68"/>
    <w:rsid w:val="557D32CA"/>
    <w:rsid w:val="55DD6F2A"/>
    <w:rsid w:val="55F06EBE"/>
    <w:rsid w:val="55F6610C"/>
    <w:rsid w:val="560A3875"/>
    <w:rsid w:val="56145865"/>
    <w:rsid w:val="56880C30"/>
    <w:rsid w:val="568B774A"/>
    <w:rsid w:val="56D42326"/>
    <w:rsid w:val="56F52621"/>
    <w:rsid w:val="578E67DC"/>
    <w:rsid w:val="578F220A"/>
    <w:rsid w:val="57981B91"/>
    <w:rsid w:val="57FC07D9"/>
    <w:rsid w:val="581B1AE1"/>
    <w:rsid w:val="581D5E01"/>
    <w:rsid w:val="58500F22"/>
    <w:rsid w:val="587818A4"/>
    <w:rsid w:val="58EB1EF4"/>
    <w:rsid w:val="58EC0912"/>
    <w:rsid w:val="59420C0F"/>
    <w:rsid w:val="596E17EF"/>
    <w:rsid w:val="59A11336"/>
    <w:rsid w:val="59B66EF3"/>
    <w:rsid w:val="5A431D86"/>
    <w:rsid w:val="5ABA556F"/>
    <w:rsid w:val="5AC34D10"/>
    <w:rsid w:val="5ACD4BED"/>
    <w:rsid w:val="5ACF0F3A"/>
    <w:rsid w:val="5AD13724"/>
    <w:rsid w:val="5AFB78BA"/>
    <w:rsid w:val="5B1F19C0"/>
    <w:rsid w:val="5B267241"/>
    <w:rsid w:val="5B57193F"/>
    <w:rsid w:val="5B931671"/>
    <w:rsid w:val="5B971B60"/>
    <w:rsid w:val="5BDA30AA"/>
    <w:rsid w:val="5BEC1F3E"/>
    <w:rsid w:val="5C52310E"/>
    <w:rsid w:val="5C6B1600"/>
    <w:rsid w:val="5CD554F0"/>
    <w:rsid w:val="5D1552BA"/>
    <w:rsid w:val="5D2D1D5F"/>
    <w:rsid w:val="5D542608"/>
    <w:rsid w:val="5D9D7CEE"/>
    <w:rsid w:val="5DA06B08"/>
    <w:rsid w:val="5DAE2415"/>
    <w:rsid w:val="5DB72AB1"/>
    <w:rsid w:val="5DDD363D"/>
    <w:rsid w:val="5DFD51DB"/>
    <w:rsid w:val="5E0D36E5"/>
    <w:rsid w:val="5E225582"/>
    <w:rsid w:val="5E4B3DE5"/>
    <w:rsid w:val="5E672082"/>
    <w:rsid w:val="5E774BBA"/>
    <w:rsid w:val="5E9014C0"/>
    <w:rsid w:val="5EB54E76"/>
    <w:rsid w:val="5F1C2285"/>
    <w:rsid w:val="5F2A30E7"/>
    <w:rsid w:val="5F3D15BD"/>
    <w:rsid w:val="5F8B3B53"/>
    <w:rsid w:val="5FA71BD2"/>
    <w:rsid w:val="5FF80B81"/>
    <w:rsid w:val="60412C84"/>
    <w:rsid w:val="607C3753"/>
    <w:rsid w:val="608A305C"/>
    <w:rsid w:val="60C30855"/>
    <w:rsid w:val="60FC4DC9"/>
    <w:rsid w:val="610B58E3"/>
    <w:rsid w:val="61421EFD"/>
    <w:rsid w:val="615C5041"/>
    <w:rsid w:val="615E2C3B"/>
    <w:rsid w:val="61647861"/>
    <w:rsid w:val="61783194"/>
    <w:rsid w:val="61DD7C0C"/>
    <w:rsid w:val="620F49EA"/>
    <w:rsid w:val="627D4D73"/>
    <w:rsid w:val="62907DA0"/>
    <w:rsid w:val="634C2917"/>
    <w:rsid w:val="635046FB"/>
    <w:rsid w:val="637F10BE"/>
    <w:rsid w:val="63831CDB"/>
    <w:rsid w:val="63864A81"/>
    <w:rsid w:val="6399211D"/>
    <w:rsid w:val="64633642"/>
    <w:rsid w:val="64A716D1"/>
    <w:rsid w:val="64CD465B"/>
    <w:rsid w:val="64D03F89"/>
    <w:rsid w:val="65055B3A"/>
    <w:rsid w:val="65587C6D"/>
    <w:rsid w:val="65717DB0"/>
    <w:rsid w:val="659768CA"/>
    <w:rsid w:val="664805B8"/>
    <w:rsid w:val="667E4723"/>
    <w:rsid w:val="66FF6F50"/>
    <w:rsid w:val="67A91DCA"/>
    <w:rsid w:val="67DC041A"/>
    <w:rsid w:val="68370274"/>
    <w:rsid w:val="68616ED7"/>
    <w:rsid w:val="69064BFC"/>
    <w:rsid w:val="690F418B"/>
    <w:rsid w:val="693762FF"/>
    <w:rsid w:val="695D4A1A"/>
    <w:rsid w:val="697871F9"/>
    <w:rsid w:val="69892041"/>
    <w:rsid w:val="69B94F0E"/>
    <w:rsid w:val="69B97796"/>
    <w:rsid w:val="69F02687"/>
    <w:rsid w:val="6A035D5E"/>
    <w:rsid w:val="6A2B58D1"/>
    <w:rsid w:val="6A5F7DED"/>
    <w:rsid w:val="6A7A2736"/>
    <w:rsid w:val="6A7B4B9C"/>
    <w:rsid w:val="6AB74D93"/>
    <w:rsid w:val="6B2C07D0"/>
    <w:rsid w:val="6B7604FB"/>
    <w:rsid w:val="6C010037"/>
    <w:rsid w:val="6C201A31"/>
    <w:rsid w:val="6C89456C"/>
    <w:rsid w:val="6CF94EF2"/>
    <w:rsid w:val="6D04361E"/>
    <w:rsid w:val="6D0A72DB"/>
    <w:rsid w:val="6D26089D"/>
    <w:rsid w:val="6D3653A8"/>
    <w:rsid w:val="6DF35CE7"/>
    <w:rsid w:val="6E11718C"/>
    <w:rsid w:val="6E352709"/>
    <w:rsid w:val="6E78270E"/>
    <w:rsid w:val="6E8210E7"/>
    <w:rsid w:val="6EDC71F1"/>
    <w:rsid w:val="6F4C6A42"/>
    <w:rsid w:val="6FA629D4"/>
    <w:rsid w:val="6FF92FCF"/>
    <w:rsid w:val="705537D0"/>
    <w:rsid w:val="70BB2EF0"/>
    <w:rsid w:val="70C07468"/>
    <w:rsid w:val="7104173D"/>
    <w:rsid w:val="71376B12"/>
    <w:rsid w:val="713D1523"/>
    <w:rsid w:val="71B25CB4"/>
    <w:rsid w:val="71E67E8D"/>
    <w:rsid w:val="7233146F"/>
    <w:rsid w:val="724429DE"/>
    <w:rsid w:val="72CE7F8B"/>
    <w:rsid w:val="731A45CE"/>
    <w:rsid w:val="739B1B6F"/>
    <w:rsid w:val="73D425F7"/>
    <w:rsid w:val="743C0B78"/>
    <w:rsid w:val="744D1301"/>
    <w:rsid w:val="75FA5071"/>
    <w:rsid w:val="76050CD1"/>
    <w:rsid w:val="76274B15"/>
    <w:rsid w:val="76425A7C"/>
    <w:rsid w:val="768A3B82"/>
    <w:rsid w:val="76933951"/>
    <w:rsid w:val="76C97D08"/>
    <w:rsid w:val="76CF3E55"/>
    <w:rsid w:val="76FB7E19"/>
    <w:rsid w:val="77405CDA"/>
    <w:rsid w:val="77DF516D"/>
    <w:rsid w:val="78414B43"/>
    <w:rsid w:val="784F7216"/>
    <w:rsid w:val="78782A0D"/>
    <w:rsid w:val="78AA6E72"/>
    <w:rsid w:val="78F51CF9"/>
    <w:rsid w:val="797207E0"/>
    <w:rsid w:val="79A2171F"/>
    <w:rsid w:val="79A252FF"/>
    <w:rsid w:val="79AB25A1"/>
    <w:rsid w:val="79D33056"/>
    <w:rsid w:val="79F36CD2"/>
    <w:rsid w:val="7AA634E6"/>
    <w:rsid w:val="7AED2284"/>
    <w:rsid w:val="7B335BE0"/>
    <w:rsid w:val="7B7B7213"/>
    <w:rsid w:val="7B8360E4"/>
    <w:rsid w:val="7BCA2778"/>
    <w:rsid w:val="7C26369C"/>
    <w:rsid w:val="7C417135"/>
    <w:rsid w:val="7C9E5A24"/>
    <w:rsid w:val="7D5A690C"/>
    <w:rsid w:val="7D62117D"/>
    <w:rsid w:val="7D637309"/>
    <w:rsid w:val="7D812BB9"/>
    <w:rsid w:val="7DC321A7"/>
    <w:rsid w:val="7E10664C"/>
    <w:rsid w:val="7E1B7093"/>
    <w:rsid w:val="7E3E1EF2"/>
    <w:rsid w:val="7EE01259"/>
    <w:rsid w:val="7EED2530"/>
    <w:rsid w:val="7EF74FC9"/>
    <w:rsid w:val="7F8B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714CCA-66B3-4F1D-83A4-B874ECB9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Lines="50" w:afterLines="50" w:after="200" w:line="276" w:lineRule="auto"/>
      <w:jc w:val="both"/>
    </w:pPr>
    <w:rPr>
      <w:rFonts w:ascii="Times New Roman" w:eastAsia="SimSun" w:hAnsi="Times New Roman" w:cs="Times New Roman"/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odyText">
    <w:name w:val="Body Text"/>
    <w:basedOn w:val="Normal"/>
    <w:qFormat/>
    <w:pPr>
      <w:spacing w:after="120"/>
    </w:pPr>
  </w:style>
  <w:style w:type="paragraph" w:styleId="TOC3">
    <w:name w:val="toc 3"/>
    <w:basedOn w:val="Normal"/>
    <w:next w:val="Normal"/>
    <w:uiPriority w:val="99"/>
    <w:semiHidden/>
    <w:unhideWhenUsed/>
    <w:qFormat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pPr>
      <w:ind w:leftChars="200" w:left="420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YJ-Proposal">
    <w:name w:val="YJ-Proposal"/>
    <w:basedOn w:val="Normal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</w:style>
  <w:style w:type="paragraph" w:customStyle="1" w:styleId="References">
    <w:name w:val="References"/>
    <w:basedOn w:val="Normal"/>
    <w:qFormat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</w:style>
  <w:style w:type="character" w:customStyle="1" w:styleId="HeaderChar">
    <w:name w:val="Header Char"/>
    <w:basedOn w:val="DefaultParagraphFont"/>
    <w:link w:val="Header"/>
    <w:semiHidden/>
    <w:qFormat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Pr>
      <w:kern w:val="2"/>
      <w:sz w:val="21"/>
    </w:rPr>
  </w:style>
  <w:style w:type="paragraph" w:customStyle="1" w:styleId="YJ--">
    <w:name w:val="YJ--正文"/>
    <w:basedOn w:val="Normal"/>
    <w:qFormat/>
    <w:pPr>
      <w:widowControl w:val="0"/>
      <w:spacing w:before="156" w:after="156" w:line="360" w:lineRule="auto"/>
      <w:ind w:firstLineChars="200" w:firstLine="420"/>
    </w:pPr>
    <w:rPr>
      <w:rFonts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72</cp:revision>
  <dcterms:created xsi:type="dcterms:W3CDTF">2019-04-08T03:09:00Z</dcterms:created>
  <dcterms:modified xsi:type="dcterms:W3CDTF">2019-11-09T09:08:00Z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